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28"/>
          <w:szCs w:val="28"/>
        </w:rPr>
      </w:pPr>
      <w:r>
        <w:rPr>
          <w:rFonts w:hint="eastAsia" w:ascii="仿宋" w:hAnsi="仿宋" w:eastAsia="仿宋"/>
          <w:b/>
          <w:bCs/>
          <w:sz w:val="28"/>
          <w:szCs w:val="28"/>
        </w:rPr>
        <w:t>附件</w:t>
      </w:r>
      <w:r>
        <w:rPr>
          <w:rFonts w:hint="eastAsia" w:ascii="仿宋" w:hAnsi="仿宋" w:eastAsia="仿宋"/>
          <w:b/>
          <w:bCs/>
          <w:sz w:val="28"/>
          <w:szCs w:val="28"/>
          <w:lang w:val="en-US" w:eastAsia="zh-CN"/>
        </w:rPr>
        <w:t>2</w:t>
      </w:r>
      <w:r>
        <w:rPr>
          <w:rFonts w:hint="eastAsia" w:ascii="仿宋" w:hAnsi="仿宋" w:eastAsia="仿宋"/>
          <w:b/>
          <w:bCs/>
          <w:sz w:val="28"/>
          <w:szCs w:val="28"/>
        </w:rPr>
        <w:t>：2023年度绿色物流案例</w:t>
      </w:r>
    </w:p>
    <w:p>
      <w:pPr>
        <w:spacing w:before="120" w:beforeLines="50" w:after="120" w:afterLines="50" w:line="240" w:lineRule="atLeast"/>
        <w:jc w:val="center"/>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绿色物流案例</w:t>
      </w:r>
    </w:p>
    <w:p>
      <w:pPr>
        <w:spacing w:before="120" w:beforeLines="50" w:after="120" w:afterLines="50" w:line="240" w:lineRule="atLeast"/>
        <w:jc w:val="center"/>
        <w:rPr>
          <w:rFonts w:ascii="仿宋" w:hAnsi="仿宋" w:eastAsia="仿宋"/>
          <w:b/>
          <w:bCs/>
          <w:sz w:val="22"/>
          <w:szCs w:val="24"/>
        </w:rPr>
      </w:pPr>
      <w:r>
        <w:rPr>
          <w:rFonts w:hint="eastAsia" w:ascii="仿宋" w:hAnsi="仿宋" w:eastAsia="仿宋" w:cs="Times New Roman"/>
          <w:b/>
          <w:bCs/>
          <w:sz w:val="24"/>
          <w:szCs w:val="24"/>
          <w:shd w:val="clear" w:color="auto" w:fill="FFFFFF"/>
        </w:rPr>
        <w:t>（企业可根据业务情况</w:t>
      </w:r>
      <w:r>
        <w:rPr>
          <w:rFonts w:hint="eastAsia" w:ascii="仿宋" w:hAnsi="仿宋" w:eastAsia="仿宋" w:cs="Times New Roman"/>
          <w:b/>
          <w:bCs/>
          <w:sz w:val="24"/>
          <w:szCs w:val="24"/>
          <w:shd w:val="clear" w:color="auto" w:fill="FFFFFF"/>
          <w:lang w:val="en-US" w:eastAsia="zh-CN"/>
        </w:rPr>
        <w:t>填写</w:t>
      </w:r>
      <w:r>
        <w:rPr>
          <w:rFonts w:hint="eastAsia" w:ascii="仿宋" w:hAnsi="仿宋" w:eastAsia="仿宋" w:cs="Times New Roman"/>
          <w:b/>
          <w:bCs/>
          <w:sz w:val="24"/>
          <w:szCs w:val="24"/>
          <w:shd w:val="clear" w:color="auto" w:fill="FFFFFF"/>
        </w:rPr>
        <w:t>多项绿色物流案例，尽量呈现实景照片等佐证）</w:t>
      </w:r>
    </w:p>
    <w:tbl>
      <w:tblPr>
        <w:tblStyle w:val="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080"/>
        <w:gridCol w:w="1674"/>
        <w:gridCol w:w="1382"/>
        <w:gridCol w:w="2122"/>
        <w:gridCol w:w="1138"/>
        <w:gridCol w:w="161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70" w:type="dxa"/>
            <w:gridSpan w:val="2"/>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lang w:val="en-US" w:eastAsia="zh-CN"/>
              </w:rPr>
              <w:t>案例</w:t>
            </w:r>
            <w:r>
              <w:rPr>
                <w:rFonts w:hint="eastAsia" w:ascii="仿宋" w:hAnsi="仿宋" w:eastAsia="仿宋"/>
                <w:sz w:val="28"/>
                <w:szCs w:val="28"/>
              </w:rPr>
              <w:t>单位</w:t>
            </w:r>
          </w:p>
        </w:tc>
        <w:tc>
          <w:tcPr>
            <w:tcW w:w="7936" w:type="dxa"/>
            <w:gridSpan w:val="6"/>
            <w:vAlign w:val="center"/>
          </w:tcPr>
          <w:p>
            <w:pPr>
              <w:spacing w:before="120" w:beforeLines="50" w:after="120" w:afterLines="50" w:line="3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gridSpan w:val="2"/>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拟</w:t>
            </w:r>
            <w:r>
              <w:rPr>
                <w:rFonts w:hint="eastAsia" w:ascii="仿宋" w:hAnsi="仿宋" w:eastAsia="仿宋"/>
                <w:sz w:val="28"/>
                <w:szCs w:val="28"/>
                <w:lang w:val="en-US" w:eastAsia="zh-CN"/>
              </w:rPr>
              <w:t>填报</w:t>
            </w:r>
            <w:r>
              <w:rPr>
                <w:rFonts w:hint="eastAsia" w:ascii="仿宋" w:hAnsi="仿宋" w:eastAsia="仿宋"/>
                <w:sz w:val="28"/>
                <w:szCs w:val="28"/>
              </w:rPr>
              <w:t>案例项目名称</w:t>
            </w:r>
          </w:p>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（可多</w:t>
            </w:r>
            <w:bookmarkStart w:id="69" w:name="_GoBack"/>
            <w:bookmarkEnd w:id="69"/>
            <w:r>
              <w:rPr>
                <w:rFonts w:hint="eastAsia" w:ascii="仿宋" w:hAnsi="仿宋" w:eastAsia="仿宋"/>
                <w:sz w:val="28"/>
                <w:szCs w:val="28"/>
              </w:rPr>
              <w:t>个）</w:t>
            </w:r>
          </w:p>
        </w:tc>
        <w:tc>
          <w:tcPr>
            <w:tcW w:w="7936" w:type="dxa"/>
            <w:gridSpan w:val="6"/>
            <w:vAlign w:val="center"/>
          </w:tcPr>
          <w:p>
            <w:pPr>
              <w:spacing w:before="120" w:beforeLines="50" w:after="120" w:afterLines="50" w:line="360" w:lineRule="exact"/>
              <w:rPr>
                <w:rFonts w:ascii="仿宋" w:hAnsi="仿宋" w:eastAsia="仿宋"/>
                <w:sz w:val="28"/>
                <w:szCs w:val="28"/>
              </w:rPr>
            </w:pPr>
            <w:r>
              <w:rPr>
                <w:rFonts w:hint="eastAsia" w:ascii="仿宋" w:hAnsi="仿宋" w:eastAsia="仿宋"/>
                <w:sz w:val="28"/>
                <w:szCs w:val="28"/>
              </w:rPr>
              <w:t>1.</w:t>
            </w:r>
          </w:p>
          <w:p>
            <w:pPr>
              <w:spacing w:before="120" w:beforeLines="50" w:after="120" w:afterLines="50" w:line="360" w:lineRule="exact"/>
              <w:rPr>
                <w:rFonts w:ascii="仿宋" w:hAnsi="仿宋" w:eastAsia="仿宋"/>
                <w:sz w:val="28"/>
                <w:szCs w:val="28"/>
              </w:rPr>
            </w:pPr>
            <w:r>
              <w:rPr>
                <w:rFonts w:hint="eastAsia" w:ascii="仿宋" w:hAnsi="仿宋" w:eastAsia="仿宋"/>
                <w:sz w:val="28"/>
                <w:szCs w:val="28"/>
              </w:rPr>
              <w:t>2.</w:t>
            </w:r>
          </w:p>
          <w:p>
            <w:pPr>
              <w:spacing w:before="120" w:beforeLines="50" w:after="120" w:afterLines="50" w:line="360" w:lineRule="exact"/>
              <w:rPr>
                <w:rFonts w:ascii="仿宋" w:hAnsi="仿宋" w:eastAsia="仿宋"/>
                <w:sz w:val="28"/>
                <w:szCs w:val="28"/>
              </w:rPr>
            </w:pPr>
            <w:r>
              <w:rPr>
                <w:rFonts w:hint="eastAsia" w:ascii="仿宋" w:hAnsi="仿宋" w:eastAsia="仿宋"/>
                <w:sz w:val="28"/>
                <w:szCs w:val="28"/>
              </w:rPr>
              <w:t>3.</w:t>
            </w:r>
          </w:p>
          <w:p>
            <w:pPr>
              <w:spacing w:before="120" w:beforeLines="50" w:after="120" w:afterLines="50" w:line="360" w:lineRule="exact"/>
              <w:rPr>
                <w:rFonts w:ascii="仿宋" w:hAnsi="仿宋" w:eastAsia="仿宋"/>
                <w:sz w:val="28"/>
                <w:szCs w:val="28"/>
              </w:rPr>
            </w:pPr>
            <w:r>
              <w:rPr>
                <w:rFonts w:hint="eastAsia" w:ascii="仿宋" w:hAnsi="仿宋" w:eastAsia="仿宋"/>
                <w:sz w:val="28"/>
                <w:szCs w:val="28"/>
              </w:rPr>
              <w:t>……</w:t>
            </w:r>
          </w:p>
          <w:p>
            <w:pPr>
              <w:spacing w:before="120" w:beforeLines="50" w:after="120" w:afterLines="50" w:line="360" w:lineRule="exact"/>
              <w:rPr>
                <w:rFonts w:ascii="仿宋" w:hAnsi="仿宋" w:eastAsia="仿宋"/>
                <w:b/>
                <w:bCs/>
                <w:sz w:val="22"/>
              </w:rPr>
            </w:pPr>
            <w:r>
              <w:rPr>
                <w:rFonts w:hint="eastAsia" w:ascii="仿宋" w:hAnsi="仿宋" w:eastAsia="仿宋"/>
                <w:b/>
                <w:bCs/>
                <w:sz w:val="22"/>
              </w:rPr>
              <w:t>备注：可参考但不局限于《物流企业绿色物流评估指标》（报批稿</w:t>
            </w:r>
            <w:r>
              <w:rPr>
                <w:rFonts w:ascii="仿宋" w:hAnsi="仿宋" w:eastAsia="仿宋"/>
                <w:b/>
                <w:bCs/>
                <w:sz w:val="22"/>
              </w:rPr>
              <w:t>）</w:t>
            </w:r>
          </w:p>
          <w:p>
            <w:pPr>
              <w:spacing w:before="120" w:beforeLines="50" w:after="120" w:afterLines="50" w:line="360" w:lineRule="exact"/>
              <w:rPr>
                <w:rFonts w:ascii="仿宋" w:hAnsi="仿宋" w:eastAsia="仿宋"/>
                <w:b/>
                <w:bCs/>
                <w:szCs w:val="21"/>
              </w:rPr>
            </w:pPr>
            <w:r>
              <w:rPr>
                <w:rFonts w:ascii="黑体" w:hAnsi="黑体" w:eastAsia="黑体"/>
                <w:b/>
                <w:bCs/>
                <w:sz w:val="22"/>
              </w:rPr>
              <w:t>绿色物流管理</w:t>
            </w:r>
            <w:r>
              <w:rPr>
                <w:rFonts w:hint="eastAsia" w:ascii="仿宋" w:hAnsi="仿宋" w:eastAsia="仿宋"/>
                <w:b/>
                <w:bCs/>
                <w:sz w:val="22"/>
              </w:rPr>
              <w:t>（组织、制度、管理体系、规划及实施）；</w:t>
            </w:r>
            <w:r>
              <w:rPr>
                <w:rFonts w:ascii="黑体" w:hAnsi="黑体" w:eastAsia="黑体"/>
                <w:b/>
                <w:bCs/>
                <w:sz w:val="22"/>
              </w:rPr>
              <w:t>设施、设备、包装器具</w:t>
            </w:r>
            <w:r>
              <w:rPr>
                <w:rFonts w:hint="eastAsia" w:ascii="仿宋" w:hAnsi="仿宋" w:eastAsia="仿宋"/>
                <w:b/>
                <w:bCs/>
                <w:sz w:val="22"/>
              </w:rPr>
              <w:t>（载运工具、仓库、能源资源计量器具、标准托盘或标准周转箱、可降解塑料材料使用）；</w:t>
            </w:r>
            <w:r>
              <w:rPr>
                <w:rFonts w:ascii="黑体" w:hAnsi="黑体" w:eastAsia="黑体"/>
                <w:b/>
                <w:bCs/>
                <w:sz w:val="22"/>
              </w:rPr>
              <w:t>运营</w:t>
            </w:r>
            <w:r>
              <w:rPr>
                <w:rFonts w:ascii="仿宋" w:hAnsi="仿宋" w:eastAsia="仿宋"/>
                <w:b/>
                <w:bCs/>
                <w:sz w:val="22"/>
              </w:rPr>
              <w:t>（运营模式、数字化</w:t>
            </w:r>
            <w:r>
              <w:rPr>
                <w:rFonts w:hint="eastAsia" w:ascii="仿宋" w:hAnsi="仿宋" w:eastAsia="仿宋"/>
                <w:b/>
                <w:bCs/>
                <w:sz w:val="22"/>
              </w:rPr>
              <w:t>运营（技术、信息系统、运营方案优化）</w:t>
            </w:r>
            <w:r>
              <w:rPr>
                <w:rFonts w:ascii="仿宋" w:hAnsi="仿宋" w:eastAsia="仿宋"/>
                <w:b/>
                <w:bCs/>
                <w:sz w:val="22"/>
              </w:rPr>
              <w:t>、资源绿色化</w:t>
            </w:r>
            <w:r>
              <w:rPr>
                <w:rFonts w:hint="eastAsia" w:ascii="仿宋" w:hAnsi="仿宋" w:eastAsia="仿宋"/>
                <w:b/>
                <w:bCs/>
                <w:sz w:val="22"/>
              </w:rPr>
              <w:t>（可再生能源使用、包装减量化）</w:t>
            </w:r>
            <w:r>
              <w:rPr>
                <w:rFonts w:ascii="仿宋" w:hAnsi="仿宋" w:eastAsia="仿宋"/>
                <w:b/>
                <w:bCs/>
                <w:sz w:val="22"/>
              </w:rPr>
              <w:t>等）</w:t>
            </w:r>
            <w:r>
              <w:rPr>
                <w:rFonts w:hint="eastAsia" w:ascii="仿宋" w:hAnsi="仿宋" w:eastAsia="仿宋"/>
                <w:b/>
                <w:bCs/>
                <w:sz w:val="22"/>
              </w:rPr>
              <w:t>；</w:t>
            </w:r>
            <w:r>
              <w:rPr>
                <w:rFonts w:ascii="黑体" w:hAnsi="黑体" w:eastAsia="黑体"/>
                <w:b/>
                <w:bCs/>
                <w:sz w:val="22"/>
              </w:rPr>
              <w:t>绿色信息披露与生态共建</w:t>
            </w:r>
            <w:r>
              <w:rPr>
                <w:rFonts w:ascii="仿宋" w:hAnsi="仿宋" w:eastAsia="仿宋"/>
                <w:b/>
                <w:bCs/>
                <w:sz w:val="22"/>
              </w:rPr>
              <w:t>四方面内容</w:t>
            </w:r>
            <w:r>
              <w:rPr>
                <w:rFonts w:hint="eastAsia" w:ascii="仿宋" w:hAnsi="仿宋" w:eastAsia="仿宋"/>
                <w:b/>
                <w:bCs/>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gridSpan w:val="2"/>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lang w:val="en-US" w:eastAsia="zh-CN"/>
              </w:rPr>
              <w:t>填</w:t>
            </w:r>
            <w:r>
              <w:rPr>
                <w:rFonts w:hint="eastAsia" w:ascii="仿宋" w:hAnsi="仿宋" w:eastAsia="仿宋"/>
                <w:sz w:val="28"/>
                <w:szCs w:val="28"/>
              </w:rPr>
              <w:t>报人姓名</w:t>
            </w:r>
          </w:p>
        </w:tc>
        <w:tc>
          <w:tcPr>
            <w:tcW w:w="1674" w:type="dxa"/>
            <w:vAlign w:val="center"/>
          </w:tcPr>
          <w:p>
            <w:pPr>
              <w:spacing w:before="120" w:beforeLines="50" w:after="120" w:afterLines="50" w:line="360" w:lineRule="exact"/>
              <w:rPr>
                <w:rFonts w:ascii="仿宋" w:hAnsi="仿宋" w:eastAsia="仿宋"/>
                <w:sz w:val="28"/>
                <w:szCs w:val="28"/>
              </w:rPr>
            </w:pPr>
          </w:p>
        </w:tc>
        <w:tc>
          <w:tcPr>
            <w:tcW w:w="1382"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部门</w:t>
            </w:r>
          </w:p>
        </w:tc>
        <w:tc>
          <w:tcPr>
            <w:tcW w:w="2122" w:type="dxa"/>
            <w:vAlign w:val="center"/>
          </w:tcPr>
          <w:p>
            <w:pPr>
              <w:spacing w:before="120" w:beforeLines="50" w:after="120" w:afterLines="50" w:line="360" w:lineRule="exact"/>
              <w:rPr>
                <w:rFonts w:ascii="仿宋" w:hAnsi="仿宋" w:eastAsia="仿宋"/>
                <w:sz w:val="28"/>
                <w:szCs w:val="28"/>
              </w:rPr>
            </w:pPr>
          </w:p>
        </w:tc>
        <w:tc>
          <w:tcPr>
            <w:tcW w:w="1138"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职务</w:t>
            </w:r>
          </w:p>
        </w:tc>
        <w:tc>
          <w:tcPr>
            <w:tcW w:w="1620" w:type="dxa"/>
            <w:gridSpan w:val="2"/>
            <w:vAlign w:val="center"/>
          </w:tcPr>
          <w:p>
            <w:pPr>
              <w:spacing w:before="120" w:beforeLines="50" w:after="120" w:afterLines="50" w:line="3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gridSpan w:val="2"/>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手机</w:t>
            </w:r>
          </w:p>
        </w:tc>
        <w:tc>
          <w:tcPr>
            <w:tcW w:w="1674" w:type="dxa"/>
            <w:vAlign w:val="center"/>
          </w:tcPr>
          <w:p>
            <w:pPr>
              <w:spacing w:before="120" w:beforeLines="50" w:after="120" w:afterLines="50" w:line="360" w:lineRule="exact"/>
              <w:rPr>
                <w:rFonts w:ascii="仿宋" w:hAnsi="仿宋" w:eastAsia="仿宋"/>
                <w:sz w:val="28"/>
                <w:szCs w:val="28"/>
              </w:rPr>
            </w:pPr>
          </w:p>
        </w:tc>
        <w:tc>
          <w:tcPr>
            <w:tcW w:w="1382"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座机</w:t>
            </w:r>
          </w:p>
        </w:tc>
        <w:tc>
          <w:tcPr>
            <w:tcW w:w="2122" w:type="dxa"/>
            <w:vAlign w:val="center"/>
          </w:tcPr>
          <w:p>
            <w:pPr>
              <w:spacing w:before="120" w:beforeLines="50" w:after="120" w:afterLines="50" w:line="360" w:lineRule="exact"/>
              <w:rPr>
                <w:rFonts w:ascii="仿宋" w:hAnsi="仿宋" w:eastAsia="仿宋"/>
                <w:sz w:val="28"/>
                <w:szCs w:val="28"/>
              </w:rPr>
            </w:pPr>
          </w:p>
        </w:tc>
        <w:tc>
          <w:tcPr>
            <w:tcW w:w="1138"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邮箱</w:t>
            </w:r>
          </w:p>
        </w:tc>
        <w:tc>
          <w:tcPr>
            <w:tcW w:w="1620" w:type="dxa"/>
            <w:gridSpan w:val="2"/>
            <w:vAlign w:val="center"/>
          </w:tcPr>
          <w:p>
            <w:pPr>
              <w:spacing w:before="120" w:beforeLines="50" w:after="120" w:afterLines="50" w:line="3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70" w:type="dxa"/>
            <w:gridSpan w:val="2"/>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通讯地址</w:t>
            </w:r>
          </w:p>
        </w:tc>
        <w:tc>
          <w:tcPr>
            <w:tcW w:w="7936" w:type="dxa"/>
            <w:gridSpan w:val="6"/>
            <w:vAlign w:val="center"/>
          </w:tcPr>
          <w:p>
            <w:pPr>
              <w:spacing w:before="120" w:beforeLines="50" w:after="120" w:afterLines="50" w:line="3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670" w:type="dxa"/>
            <w:gridSpan w:val="2"/>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案例内容</w:t>
            </w:r>
          </w:p>
          <w:p>
            <w:pPr>
              <w:jc w:val="center"/>
              <w:rPr>
                <w:rFonts w:ascii="仿宋" w:hAnsi="仿宋" w:eastAsia="仿宋"/>
                <w:szCs w:val="24"/>
              </w:rPr>
            </w:pPr>
            <w:r>
              <w:rPr>
                <w:rFonts w:hint="eastAsia" w:ascii="仿宋" w:hAnsi="仿宋" w:eastAsia="仿宋" w:cs="Times New Roman"/>
                <w:sz w:val="28"/>
                <w:szCs w:val="28"/>
              </w:rPr>
              <w:t>可否公开</w:t>
            </w:r>
          </w:p>
        </w:tc>
        <w:tc>
          <w:tcPr>
            <w:tcW w:w="7936" w:type="dxa"/>
            <w:gridSpan w:val="6"/>
            <w:vAlign w:val="center"/>
          </w:tcPr>
          <w:p>
            <w:pPr>
              <w:rPr>
                <w:rFonts w:ascii="仿宋" w:hAnsi="仿宋" w:eastAsia="仿宋"/>
                <w:b/>
                <w:color w:val="FF0000"/>
                <w:szCs w:val="24"/>
                <w:u w:val="single"/>
              </w:rPr>
            </w:pPr>
            <w:r>
              <w:rPr>
                <w:rFonts w:hint="eastAsia" w:ascii="仿宋" w:hAnsi="仿宋" w:eastAsia="仿宋" w:cs="Times New Roman"/>
                <w:sz w:val="24"/>
              </w:rPr>
              <w:t>可□（用作会议资料、报告编撰等）    否□</w:t>
            </w:r>
            <w:r>
              <w:rPr>
                <w:rFonts w:hint="eastAsia" w:ascii="仿宋" w:hAnsi="仿宋" w:eastAsia="仿宋"/>
              </w:rPr>
              <w:t xml:space="preserve">     </w:t>
            </w:r>
            <w:r>
              <w:rPr>
                <w:rFonts w:hint="eastAsia" w:ascii="仿宋" w:hAnsi="仿宋" w:eastAsia="仿宋"/>
                <w:b/>
                <w:color w:val="FF0000"/>
                <w:u w:val="single"/>
              </w:rPr>
              <w:t xml:space="preserve"> 未标记则默认为可公开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 w:hRule="atLeast"/>
          <w:jc w:val="center"/>
        </w:trPr>
        <w:tc>
          <w:tcPr>
            <w:tcW w:w="590"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企业基本情况</w:t>
            </w:r>
          </w:p>
        </w:tc>
        <w:tc>
          <w:tcPr>
            <w:tcW w:w="9010" w:type="dxa"/>
            <w:gridSpan w:val="6"/>
            <w:vAlign w:val="center"/>
          </w:tcPr>
          <w:p>
            <w:pPr>
              <w:spacing w:before="120" w:beforeLines="50" w:after="120" w:afterLines="50" w:line="360" w:lineRule="exact"/>
              <w:rPr>
                <w:rFonts w:ascii="仿宋" w:hAnsi="仿宋" w:eastAsia="仿宋"/>
                <w:b/>
                <w:bCs/>
                <w:sz w:val="24"/>
              </w:rPr>
            </w:pPr>
            <w:r>
              <w:rPr>
                <w:rFonts w:hint="eastAsia" w:ascii="仿宋" w:hAnsi="仿宋" w:eastAsia="仿宋"/>
                <w:b/>
                <w:bCs/>
                <w:sz w:val="24"/>
              </w:rPr>
              <w:t>（企业简介、规模及业务范围，发展战略及在业界的地位和影响等）（约500字）</w:t>
            </w:r>
          </w:p>
          <w:p>
            <w:pPr>
              <w:spacing w:before="120" w:beforeLines="50" w:after="120" w:afterLines="50" w:line="360" w:lineRule="exact"/>
              <w:rPr>
                <w:rFonts w:ascii="仿宋" w:hAnsi="仿宋" w:eastAsia="仿宋"/>
                <w:sz w:val="28"/>
                <w:szCs w:val="28"/>
              </w:rPr>
            </w:pPr>
          </w:p>
          <w:p>
            <w:pPr>
              <w:spacing w:before="120" w:beforeLines="50" w:after="120" w:afterLines="50" w:line="360" w:lineRule="exact"/>
              <w:rPr>
                <w:rFonts w:ascii="仿宋" w:hAnsi="仿宋" w:eastAsia="仿宋"/>
                <w:sz w:val="28"/>
                <w:szCs w:val="28"/>
              </w:rPr>
            </w:pPr>
          </w:p>
          <w:p>
            <w:pPr>
              <w:spacing w:before="120" w:beforeLines="50" w:after="120" w:afterLines="50" w:line="360" w:lineRule="exact"/>
              <w:rPr>
                <w:rFonts w:ascii="仿宋" w:hAnsi="仿宋" w:eastAsia="仿宋"/>
                <w:sz w:val="28"/>
                <w:szCs w:val="28"/>
              </w:rPr>
            </w:pPr>
          </w:p>
          <w:p>
            <w:pPr>
              <w:spacing w:before="120" w:beforeLines="50" w:after="120" w:afterLines="50" w:line="36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 w:hRule="atLeast"/>
          <w:jc w:val="center"/>
        </w:trPr>
        <w:tc>
          <w:tcPr>
            <w:tcW w:w="590"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案例背景</w:t>
            </w:r>
          </w:p>
        </w:tc>
        <w:tc>
          <w:tcPr>
            <w:tcW w:w="9010" w:type="dxa"/>
            <w:gridSpan w:val="6"/>
            <w:vAlign w:val="center"/>
          </w:tcPr>
          <w:p>
            <w:pPr>
              <w:spacing w:before="120" w:beforeLines="50" w:after="120" w:afterLines="50" w:line="360" w:lineRule="exact"/>
              <w:rPr>
                <w:rFonts w:ascii="仿宋" w:hAnsi="仿宋" w:eastAsia="仿宋"/>
                <w:b/>
                <w:bCs/>
                <w:sz w:val="24"/>
              </w:rPr>
            </w:pPr>
            <w:r>
              <w:rPr>
                <w:rFonts w:hint="eastAsia" w:ascii="仿宋" w:hAnsi="仿宋" w:eastAsia="仿宋"/>
                <w:b/>
                <w:bCs/>
                <w:sz w:val="24"/>
              </w:rPr>
              <w:t>（介绍每一项案例背景、内部和外部环境、拟解决的问题等）</w:t>
            </w:r>
          </w:p>
          <w:p>
            <w:pPr>
              <w:spacing w:before="120" w:beforeLines="50" w:after="120" w:afterLines="50" w:line="360" w:lineRule="exact"/>
              <w:rPr>
                <w:rFonts w:ascii="仿宋" w:hAnsi="仿宋" w:eastAsia="仿宋"/>
                <w:b/>
                <w:bCs/>
                <w:sz w:val="24"/>
              </w:rPr>
            </w:pPr>
            <w:r>
              <w:rPr>
                <w:rFonts w:hint="eastAsia" w:ascii="仿宋" w:hAnsi="仿宋" w:eastAsia="仿宋"/>
                <w:b/>
                <w:bCs/>
                <w:sz w:val="24"/>
              </w:rPr>
              <w:t>（</w:t>
            </w:r>
            <w:r>
              <w:rPr>
                <w:rFonts w:hint="eastAsia" w:ascii="仿宋" w:hAnsi="仿宋" w:eastAsia="仿宋" w:cs="Times New Roman"/>
                <w:b/>
                <w:bCs/>
                <w:sz w:val="24"/>
                <w:szCs w:val="24"/>
                <w:shd w:val="clear" w:color="auto" w:fill="FFFFFF"/>
              </w:rPr>
              <w:t>尽量呈现实景照片等佐证，每个案例背景约500字</w:t>
            </w:r>
            <w:r>
              <w:rPr>
                <w:rFonts w:hint="eastAsia" w:ascii="仿宋" w:hAnsi="仿宋" w:eastAsia="仿宋"/>
                <w:b/>
                <w:bCs/>
                <w:sz w:val="24"/>
              </w:rPr>
              <w:t>）</w:t>
            </w: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案例一</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案例二</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案例三</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案例四</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 w:hRule="atLeast"/>
          <w:jc w:val="center"/>
        </w:trPr>
        <w:tc>
          <w:tcPr>
            <w:tcW w:w="590"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案例解决方案要点概述</w:t>
            </w:r>
          </w:p>
        </w:tc>
        <w:tc>
          <w:tcPr>
            <w:tcW w:w="9010" w:type="dxa"/>
            <w:gridSpan w:val="6"/>
            <w:vAlign w:val="center"/>
          </w:tcPr>
          <w:p>
            <w:pPr>
              <w:spacing w:before="120" w:beforeLines="50" w:after="120" w:afterLines="50" w:line="360" w:lineRule="exact"/>
              <w:rPr>
                <w:rFonts w:ascii="仿宋" w:hAnsi="仿宋" w:eastAsia="仿宋"/>
                <w:b/>
                <w:bCs/>
                <w:sz w:val="24"/>
              </w:rPr>
            </w:pPr>
            <w:r>
              <w:rPr>
                <w:rFonts w:hint="eastAsia" w:ascii="仿宋" w:hAnsi="仿宋" w:eastAsia="仿宋"/>
                <w:b/>
                <w:bCs/>
                <w:sz w:val="24"/>
              </w:rPr>
              <w:t>（介绍每一项案例实施流程、解决方案要点，如资金、人力、合作单位资源的配置等）</w:t>
            </w:r>
          </w:p>
          <w:p>
            <w:pPr>
              <w:spacing w:before="120" w:beforeLines="50" w:after="120" w:afterLines="50" w:line="360" w:lineRule="exact"/>
              <w:rPr>
                <w:rFonts w:ascii="仿宋" w:hAnsi="仿宋" w:eastAsia="仿宋"/>
                <w:b/>
                <w:bCs/>
                <w:sz w:val="24"/>
              </w:rPr>
            </w:pPr>
            <w:r>
              <w:rPr>
                <w:rFonts w:hint="eastAsia" w:ascii="仿宋" w:hAnsi="仿宋" w:eastAsia="仿宋"/>
                <w:b/>
                <w:bCs/>
                <w:sz w:val="24"/>
              </w:rPr>
              <w:t>（</w:t>
            </w:r>
            <w:r>
              <w:rPr>
                <w:rFonts w:hint="eastAsia" w:ascii="仿宋" w:hAnsi="仿宋" w:eastAsia="仿宋" w:cs="Times New Roman"/>
                <w:b/>
                <w:bCs/>
                <w:sz w:val="24"/>
                <w:szCs w:val="24"/>
                <w:shd w:val="clear" w:color="auto" w:fill="FFFFFF"/>
              </w:rPr>
              <w:t>尽量呈现实施流程图、实景照片等佐证，每个案例背景约2000字</w:t>
            </w:r>
            <w:r>
              <w:rPr>
                <w:rFonts w:hint="eastAsia" w:ascii="仿宋" w:hAnsi="仿宋" w:eastAsia="仿宋"/>
                <w:b/>
                <w:bCs/>
                <w:sz w:val="24"/>
              </w:rPr>
              <w:t>）</w:t>
            </w: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案例一</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案例二</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案例三</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案例四</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968" w:hRule="atLeast"/>
          <w:jc w:val="center"/>
        </w:trPr>
        <w:tc>
          <w:tcPr>
            <w:tcW w:w="590"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实施效果</w:t>
            </w:r>
          </w:p>
        </w:tc>
        <w:tc>
          <w:tcPr>
            <w:tcW w:w="9010" w:type="dxa"/>
            <w:gridSpan w:val="6"/>
            <w:vAlign w:val="center"/>
          </w:tcPr>
          <w:p>
            <w:pPr>
              <w:spacing w:before="120" w:beforeLines="50" w:after="120" w:afterLines="50" w:line="360" w:lineRule="exact"/>
              <w:rPr>
                <w:rFonts w:ascii="仿宋" w:hAnsi="仿宋" w:eastAsia="仿宋"/>
                <w:b/>
                <w:bCs/>
                <w:sz w:val="24"/>
              </w:rPr>
            </w:pPr>
            <w:r>
              <w:rPr>
                <w:rFonts w:hint="eastAsia" w:ascii="仿宋" w:hAnsi="仿宋" w:eastAsia="仿宋"/>
                <w:b/>
                <w:bCs/>
                <w:sz w:val="24"/>
              </w:rPr>
              <w:t>（介绍每一项案例为企业带来的经济效益、社会效益和环境效益，以及后续期望的推广模式和价值等）（</w:t>
            </w:r>
            <w:r>
              <w:rPr>
                <w:rFonts w:hint="eastAsia" w:ascii="仿宋" w:hAnsi="仿宋" w:eastAsia="仿宋" w:cs="Times New Roman"/>
                <w:b/>
                <w:bCs/>
                <w:sz w:val="24"/>
                <w:szCs w:val="24"/>
                <w:shd w:val="clear" w:color="auto" w:fill="FFFFFF"/>
              </w:rPr>
              <w:t>每个案例实施效果约500字</w:t>
            </w:r>
            <w:r>
              <w:rPr>
                <w:rFonts w:hint="eastAsia" w:ascii="仿宋" w:hAnsi="仿宋" w:eastAsia="仿宋"/>
                <w:b/>
                <w:bCs/>
                <w:sz w:val="24"/>
              </w:rPr>
              <w:t>）</w:t>
            </w: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案例一</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案例二</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案例三</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案例四</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p>
            <w:pPr>
              <w:spacing w:before="120" w:beforeLines="50" w:after="120" w:afterLines="50" w:line="360" w:lineRule="auto"/>
              <w:ind w:firstLine="560" w:firstLineChars="200"/>
              <w:rPr>
                <w:rFonts w:ascii="仿宋" w:hAnsi="仿宋" w:eastAsia="仿宋"/>
                <w:sz w:val="28"/>
                <w:szCs w:val="28"/>
              </w:rPr>
            </w:pPr>
            <w:r>
              <w:rPr>
                <w:rFonts w:hint="eastAsia" w:ascii="黑体" w:hAnsi="黑体" w:eastAsia="黑体"/>
                <w:sz w:val="28"/>
                <w:szCs w:val="28"/>
              </w:rPr>
              <w:t>案例……</w:t>
            </w:r>
            <w:r>
              <w:rPr>
                <w:rFonts w:hint="eastAsia" w:ascii="仿宋" w:hAnsi="仿宋" w:eastAsia="仿宋"/>
                <w:sz w:val="28"/>
                <w:szCs w:val="28"/>
              </w:rPr>
              <w:t>：</w:t>
            </w:r>
          </w:p>
          <w:p>
            <w:pPr>
              <w:spacing w:before="120" w:beforeLines="50" w:after="120" w:afterLines="50"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968" w:hRule="atLeast"/>
          <w:jc w:val="center"/>
        </w:trPr>
        <w:tc>
          <w:tcPr>
            <w:tcW w:w="590"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案例研究对象单位意见</w:t>
            </w:r>
          </w:p>
        </w:tc>
        <w:tc>
          <w:tcPr>
            <w:tcW w:w="9010" w:type="dxa"/>
            <w:gridSpan w:val="6"/>
            <w:vAlign w:val="center"/>
          </w:tcPr>
          <w:p>
            <w:pPr>
              <w:spacing w:before="120" w:beforeLines="50" w:after="120" w:afterLines="50" w:line="360" w:lineRule="exact"/>
              <w:ind w:firstLine="5320" w:firstLineChars="1900"/>
              <w:rPr>
                <w:rFonts w:ascii="仿宋" w:hAnsi="仿宋" w:eastAsia="仿宋"/>
                <w:sz w:val="28"/>
                <w:szCs w:val="28"/>
              </w:rPr>
            </w:pPr>
          </w:p>
          <w:p>
            <w:pPr>
              <w:spacing w:before="120" w:beforeLines="50" w:after="120" w:afterLines="50" w:line="360" w:lineRule="exact"/>
              <w:ind w:firstLine="5320" w:firstLineChars="1900"/>
              <w:rPr>
                <w:rFonts w:ascii="仿宋" w:hAnsi="仿宋" w:eastAsia="仿宋"/>
                <w:sz w:val="28"/>
                <w:szCs w:val="28"/>
              </w:rPr>
            </w:pPr>
          </w:p>
          <w:p>
            <w:pPr>
              <w:spacing w:before="120" w:beforeLines="50" w:after="120" w:afterLines="50" w:line="360" w:lineRule="exact"/>
              <w:ind w:firstLine="5320" w:firstLineChars="1900"/>
              <w:rPr>
                <w:rFonts w:ascii="仿宋" w:hAnsi="仿宋" w:eastAsia="仿宋"/>
                <w:sz w:val="28"/>
                <w:szCs w:val="28"/>
              </w:rPr>
            </w:pPr>
            <w:r>
              <w:rPr>
                <w:rFonts w:hint="eastAsia" w:ascii="仿宋" w:hAnsi="仿宋" w:eastAsia="仿宋"/>
                <w:sz w:val="28"/>
                <w:szCs w:val="28"/>
              </w:rPr>
              <w:t>（盖章）</w:t>
            </w:r>
          </w:p>
          <w:p>
            <w:pPr>
              <w:spacing w:before="120" w:beforeLines="50" w:after="120" w:afterLines="50" w:line="360" w:lineRule="exact"/>
              <w:ind w:firstLine="5600" w:firstLineChars="2000"/>
              <w:rPr>
                <w:rFonts w:ascii="仿宋" w:hAnsi="仿宋" w:eastAsia="仿宋"/>
                <w:sz w:val="28"/>
                <w:szCs w:val="28"/>
              </w:rPr>
            </w:pPr>
            <w:r>
              <w:rPr>
                <w:rFonts w:hint="eastAsia" w:ascii="仿宋" w:hAnsi="仿宋" w:eastAsia="仿宋"/>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11" w:hRule="atLeast"/>
          <w:jc w:val="center"/>
        </w:trPr>
        <w:tc>
          <w:tcPr>
            <w:tcW w:w="590" w:type="dxa"/>
            <w:vAlign w:val="center"/>
          </w:tcPr>
          <w:p>
            <w:pPr>
              <w:spacing w:before="120" w:beforeLines="50" w:after="120" w:afterLines="50" w:line="360" w:lineRule="exact"/>
              <w:jc w:val="center"/>
              <w:rPr>
                <w:rFonts w:ascii="仿宋" w:hAnsi="仿宋" w:eastAsia="仿宋"/>
                <w:sz w:val="28"/>
                <w:szCs w:val="28"/>
              </w:rPr>
            </w:pPr>
            <w:r>
              <w:rPr>
                <w:rFonts w:hint="eastAsia" w:ascii="仿宋" w:hAnsi="仿宋" w:eastAsia="仿宋"/>
                <w:sz w:val="28"/>
                <w:szCs w:val="28"/>
              </w:rPr>
              <w:t>备注</w:t>
            </w:r>
          </w:p>
        </w:tc>
        <w:tc>
          <w:tcPr>
            <w:tcW w:w="9010" w:type="dxa"/>
            <w:gridSpan w:val="6"/>
            <w:vAlign w:val="center"/>
          </w:tcPr>
          <w:p>
            <w:pPr>
              <w:spacing w:before="120" w:beforeLines="50" w:after="120" w:afterLines="50" w:line="360" w:lineRule="exact"/>
              <w:rPr>
                <w:rFonts w:ascii="仿宋" w:hAnsi="仿宋" w:eastAsia="仿宋"/>
                <w:sz w:val="28"/>
                <w:szCs w:val="28"/>
              </w:rPr>
            </w:pPr>
            <w:r>
              <w:rPr>
                <w:rFonts w:hint="eastAsia" w:ascii="仿宋" w:hAnsi="仿宋" w:eastAsia="仿宋"/>
                <w:sz w:val="28"/>
                <w:szCs w:val="28"/>
              </w:rPr>
              <w:t>可附上其他参考说明资料</w:t>
            </w:r>
          </w:p>
        </w:tc>
      </w:tr>
    </w:tbl>
    <w:p>
      <w:pPr>
        <w:spacing w:before="120" w:beforeLines="50" w:after="120" w:afterLines="50" w:line="360" w:lineRule="exact"/>
        <w:jc w:val="center"/>
        <w:rPr>
          <w:rFonts w:ascii="仿宋" w:hAnsi="仿宋" w:eastAsia="仿宋"/>
          <w:b/>
          <w:sz w:val="28"/>
          <w:szCs w:val="28"/>
        </w:rPr>
      </w:pPr>
      <w:r>
        <w:rPr>
          <w:rFonts w:hint="eastAsia" w:ascii="仿宋" w:hAnsi="仿宋" w:eastAsia="仿宋"/>
          <w:b/>
          <w:sz w:val="28"/>
          <w:szCs w:val="28"/>
        </w:rPr>
        <w:t>以上为案例框架参考表格，可按企业实际情况自行编写。</w:t>
      </w:r>
    </w:p>
    <w:p>
      <w:pPr>
        <w:jc w:val="lef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jc w:val="left"/>
        <w:rPr>
          <w:rFonts w:ascii="仿宋" w:hAnsi="仿宋" w:eastAsia="仿宋"/>
          <w:b/>
          <w:bCs/>
          <w:sz w:val="28"/>
          <w:szCs w:val="28"/>
        </w:rPr>
      </w:pPr>
    </w:p>
    <w:tbl>
      <w:tblPr>
        <w:tblStyle w:val="6"/>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8"/>
              <w:framePr w:w="0" w:hRule="auto" w:wrap="auto" w:vAnchor="margin" w:hAnchor="text" w:xAlign="left" w:yAlign="inline"/>
              <w:ind w:firstLine="420"/>
            </w:pPr>
            <w:bookmarkStart w:id="0" w:name="_Hlk26473981"/>
          </w:p>
          <w:p>
            <w:pPr>
              <w:pStyle w:val="8"/>
              <w:framePr w:w="0" w:hRule="auto" w:wrap="auto" w:vAnchor="margin" w:hAnchor="text" w:xAlign="left" w:yAlign="inline"/>
              <w:ind w:firstLine="420"/>
            </w:pPr>
            <w:r>
              <w:t>WB</w:t>
            </w:r>
          </w:p>
        </w:tc>
      </w:tr>
    </w:tbl>
    <w:p>
      <w:pPr>
        <w:pStyle w:val="9"/>
        <w:framePr w:w="9639" w:h="624" w:hRule="exact" w:hSpace="181" w:vSpace="181" w:wrap="around" w:hAnchor="page" w:x="1345" w:y="3634"/>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1"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物流</w:t>
      </w:r>
      <w:r>
        <w:rPr>
          <w:rFonts w:ascii="黑体" w:eastAsia="黑体"/>
          <w:b w:val="0"/>
          <w:bCs w:val="0"/>
          <w:w w:val="100"/>
          <w:sz w:val="48"/>
        </w:rPr>
        <w:fldChar w:fldCharType="end"/>
      </w:r>
      <w:bookmarkEnd w:id="1"/>
      <w:r>
        <w:rPr>
          <w:rFonts w:hint="eastAsia" w:ascii="黑体" w:hAnsi="黑体" w:eastAsia="黑体"/>
          <w:b w:val="0"/>
          <w:bCs w:val="0"/>
          <w:w w:val="100"/>
          <w:sz w:val="48"/>
          <w:szCs w:val="48"/>
        </w:rPr>
        <w:t>行业标准</w:t>
      </w:r>
    </w:p>
    <w:bookmarkEnd w:id="0"/>
    <w:p>
      <w:pPr>
        <w:pStyle w:val="10"/>
        <w:framePr w:wrap="around" w:x="1561" w:y="4547"/>
        <w:rPr>
          <w:lang w:val="fr-FR"/>
        </w:rPr>
      </w:pPr>
      <w:r>
        <w:fldChar w:fldCharType="begin">
          <w:ffData>
            <w:name w:val="文字1"/>
            <w:enabled/>
            <w:calcOnExit w:val="0"/>
            <w:textInput>
              <w:default w:val="XX/T"/>
            </w:textInput>
          </w:ffData>
        </w:fldChar>
      </w:r>
      <w:bookmarkStart w:id="2" w:name="文字1"/>
      <w:r>
        <w:rPr>
          <w:lang w:val="fr-FR"/>
        </w:rPr>
        <w:instrText xml:space="preserve"> FORMTEXT </w:instrText>
      </w:r>
      <w:r>
        <w:fldChar w:fldCharType="separate"/>
      </w:r>
      <w:r>
        <w:rPr>
          <w:rFonts w:hint="eastAsia"/>
          <w:lang w:val="fr-FR"/>
        </w:rPr>
        <w:t>WB</w:t>
      </w:r>
      <w:r>
        <w:rPr>
          <w:lang w:val="fr-FR"/>
        </w:rPr>
        <w:t>/T</w:t>
      </w:r>
      <w:r>
        <w:fldChar w:fldCharType="end"/>
      </w:r>
      <w:bookmarkEnd w:id="2"/>
      <w:r>
        <w:fldChar w:fldCharType="begin">
          <w:ffData>
            <w:name w:val="NSTD_CODE_F"/>
            <w:enabled/>
            <w:calcOnExit w:val="0"/>
            <w:textInput>
              <w:default w:val="XXXXX"/>
            </w:textInput>
          </w:ffData>
        </w:fldChar>
      </w:r>
      <w:bookmarkStart w:id="3" w:name="NSTD_CODE_F"/>
      <w:r>
        <w:rPr>
          <w:lang w:val="fr-FR"/>
        </w:rPr>
        <w:instrText xml:space="preserve"> FORMTEXT </w:instrText>
      </w:r>
      <w:r>
        <w:fldChar w:fldCharType="separate"/>
      </w:r>
      <w:r>
        <w:rPr>
          <w:lang w:val="fr-FR"/>
        </w:rPr>
        <w:t>XXXXX</w:t>
      </w:r>
      <w:r>
        <w:fldChar w:fldCharType="end"/>
      </w:r>
      <w:bookmarkEnd w:id="3"/>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lang w:val="fr-FR"/>
        </w:rPr>
        <w:t>XXXX</w:t>
      </w:r>
      <w:r>
        <w:fldChar w:fldCharType="end"/>
      </w:r>
      <w:bookmarkEnd w:id="4"/>
    </w:p>
    <w:p>
      <w:pPr>
        <w:pStyle w:val="12"/>
        <w:framePr w:wrap="around" w:x="1561" w:y="4547"/>
        <w:rPr>
          <w:rFonts w:hAnsi="黑体"/>
          <w:lang w:val="fr-FR"/>
        </w:rPr>
      </w:pPr>
      <w:r>
        <w:rPr>
          <w:rFonts w:hAnsi="黑体"/>
        </w:rPr>
        <w:fldChar w:fldCharType="begin">
          <w:ffData>
            <w:name w:val="OSTD_CODE"/>
            <w:enabled/>
            <w:calcOnExit w:val="0"/>
            <w:textInput/>
          </w:ffData>
        </w:fldChar>
      </w:r>
      <w:bookmarkStart w:id="5" w:name="OSTD_CODE"/>
      <w:r>
        <w:rPr>
          <w:rFonts w:hAnsi="黑体"/>
          <w:lang w:val="fr-FR"/>
        </w:rPr>
        <w:instrText xml:space="preserve"> FORMTEXT </w:instrText>
      </w:r>
      <w:r>
        <w:rPr>
          <w:rFonts w:hAnsi="黑体"/>
        </w:rPr>
        <w:fldChar w:fldCharType="separate"/>
      </w:r>
      <w:r>
        <w:rPr>
          <w:rFonts w:hAnsi="黑体"/>
          <w:lang w:val="fr-FR"/>
        </w:rPr>
        <w:t>     </w:t>
      </w:r>
      <w:r>
        <w:rPr>
          <w:rFonts w:hAnsi="黑体"/>
        </w:rPr>
        <w:fldChar w:fldCharType="end"/>
      </w:r>
      <w:bookmarkEnd w:id="5"/>
    </w:p>
    <w:p>
      <w:pPr>
        <w:rPr>
          <w:rFonts w:ascii="黑体" w:hAnsi="黑体" w:eastAsia="黑体"/>
          <w:kern w:val="0"/>
          <w:sz w:val="10"/>
          <w:szCs w:val="10"/>
          <w:lang w:val="fr-FR"/>
        </w:rPr>
      </w:pPr>
    </w:p>
    <w:p>
      <w:pPr>
        <w:pStyle w:val="9"/>
        <w:framePr w:w="9639" w:h="6976" w:hRule="exact" w:hSpace="0" w:vSpace="0" w:wrap="around" w:hAnchor="page" w:y="6408"/>
        <w:jc w:val="center"/>
        <w:rPr>
          <w:rFonts w:ascii="黑体" w:hAnsi="黑体" w:eastAsia="黑体"/>
          <w:b w:val="0"/>
          <w:bCs w:val="0"/>
          <w:w w:val="100"/>
          <w:lang w:val="fr-FR"/>
        </w:rPr>
      </w:pPr>
    </w:p>
    <w:p>
      <w:pPr>
        <w:pStyle w:val="13"/>
        <w:framePr w:h="6974" w:hRule="exact" w:wrap="around" w:x="1469" w:y="5684" w:anchorLock="1"/>
        <w:rPr>
          <w:lang w:val="fr-FR"/>
        </w:rPr>
      </w:pPr>
      <w:r>
        <w:rPr>
          <w:rFonts w:hint="eastAsia"/>
        </w:rPr>
        <w:t>物流企业绿色物流评估指标</w:t>
      </w:r>
    </w:p>
    <w:p>
      <w:pPr>
        <w:framePr w:w="9639" w:h="6974" w:hRule="exact" w:wrap="around" w:vAnchor="page" w:hAnchor="page" w:x="1469" w:y="5684" w:anchorLock="1"/>
        <w:ind w:left="-1418"/>
        <w:rPr>
          <w:lang w:val="fr-FR"/>
        </w:rPr>
      </w:pPr>
    </w:p>
    <w:p>
      <w:pPr>
        <w:pStyle w:val="14"/>
        <w:framePr w:w="9639" w:h="6974" w:hRule="exact" w:wrap="around" w:vAnchor="page" w:hAnchor="page" w:x="1469" w:y="5684" w:anchorLock="1"/>
        <w:textAlignment w:val="bottom"/>
        <w:rPr>
          <w:rFonts w:eastAsia="黑体"/>
          <w:szCs w:val="28"/>
          <w:lang w:val="fr-FR"/>
        </w:rPr>
      </w:pPr>
      <w:r>
        <w:rPr>
          <w:rFonts w:eastAsia="黑体"/>
          <w:szCs w:val="28"/>
          <w:lang w:val="fr-FR"/>
        </w:rPr>
        <w:t>E</w:t>
      </w:r>
      <w:r>
        <w:rPr>
          <w:rFonts w:hint="eastAsia" w:eastAsia="黑体"/>
          <w:szCs w:val="28"/>
          <w:lang w:val="fr-FR"/>
        </w:rPr>
        <w:t>v</w:t>
      </w:r>
      <w:r>
        <w:rPr>
          <w:rFonts w:eastAsia="黑体"/>
          <w:szCs w:val="28"/>
          <w:lang w:val="fr-FR"/>
        </w:rPr>
        <w:t>aluation index for green logistics of logistics enterprise</w:t>
      </w:r>
    </w:p>
    <w:p>
      <w:pPr>
        <w:framePr w:w="9639" w:h="6974" w:hRule="exact" w:wrap="around" w:vAnchor="page" w:hAnchor="page" w:x="1469" w:y="5684" w:anchorLock="1"/>
        <w:spacing w:line="760" w:lineRule="exact"/>
        <w:ind w:left="-1418"/>
        <w:rPr>
          <w:lang w:val="fr-FR"/>
        </w:rPr>
      </w:pPr>
    </w:p>
    <w:p>
      <w:pPr>
        <w:pStyle w:val="14"/>
        <w:framePr w:w="9639" w:h="6974" w:hRule="exact" w:wrap="around" w:vAnchor="page" w:hAnchor="page" w:x="1469" w:y="5684" w:anchorLock="1"/>
        <w:textAlignment w:val="bottom"/>
        <w:rPr>
          <w:rFonts w:eastAsia="黑体"/>
          <w:szCs w:val="28"/>
          <w:lang w:val="fr-FR"/>
        </w:rPr>
      </w:pPr>
      <w:r>
        <w:rPr>
          <w:rFonts w:eastAsia="黑体"/>
          <w:szCs w:val="28"/>
        </w:rPr>
        <w:fldChar w:fldCharType="begin">
          <w:ffData>
            <w:name w:val="IN_STD_CODE"/>
            <w:enabled/>
            <w:calcOnExit w:val="0"/>
            <w:textInput>
              <w:default w:val="(点击此处添加与国际标准一致性程度的标识)"/>
            </w:textInput>
          </w:ffData>
        </w:fldChar>
      </w:r>
      <w:bookmarkStart w:id="6" w:name="IN_STD_CODE"/>
      <w:r>
        <w:rPr>
          <w:rFonts w:eastAsia="黑体"/>
          <w:szCs w:val="28"/>
          <w:lang w:val="fr-FR"/>
        </w:rPr>
        <w:instrText xml:space="preserve"> FORMTEXT </w:instrText>
      </w:r>
      <w:r>
        <w:rPr>
          <w:rFonts w:eastAsia="黑体"/>
          <w:szCs w:val="28"/>
        </w:rPr>
        <w:fldChar w:fldCharType="separate"/>
      </w:r>
      <w:r>
        <w:rPr>
          <w:rFonts w:eastAsia="黑体"/>
          <w:szCs w:val="28"/>
          <w:lang w:val="fr-FR"/>
        </w:rPr>
        <w:t>     </w:t>
      </w:r>
      <w:r>
        <w:rPr>
          <w:rFonts w:eastAsia="黑体"/>
          <w:szCs w:val="28"/>
        </w:rPr>
        <w:fldChar w:fldCharType="end"/>
      </w:r>
      <w:bookmarkEnd w:id="6"/>
    </w:p>
    <w:p>
      <w:pPr>
        <w:pStyle w:val="14"/>
        <w:framePr w:w="9639" w:h="6974" w:hRule="exact" w:wrap="around" w:vAnchor="page" w:hAnchor="page" w:x="1469" w:y="5684" w:anchorLock="1"/>
        <w:spacing w:before="440" w:after="160"/>
        <w:textAlignment w:val="bottom"/>
        <w:rPr>
          <w:sz w:val="24"/>
          <w:szCs w:val="28"/>
          <w:lang w:val="fr-FR"/>
        </w:rPr>
      </w:pPr>
      <w:r>
        <w:rPr>
          <w:rFonts w:hint="eastAsia"/>
          <w:sz w:val="24"/>
          <w:szCs w:val="28"/>
          <w:lang w:val="fr-FR"/>
        </w:rPr>
        <w:t>（</w:t>
      </w:r>
      <w:r>
        <w:rPr>
          <w:rFonts w:hint="eastAsia"/>
          <w:sz w:val="24"/>
          <w:szCs w:val="28"/>
        </w:rPr>
        <w:t>报批稿</w:t>
      </w:r>
      <w:r>
        <w:rPr>
          <w:rFonts w:hint="eastAsia"/>
          <w:sz w:val="24"/>
          <w:szCs w:val="28"/>
          <w:lang w:val="fr-FR"/>
        </w:rPr>
        <w:t>）</w:t>
      </w:r>
    </w:p>
    <w:p>
      <w:pPr>
        <w:pStyle w:val="14"/>
        <w:framePr w:w="9639" w:h="6974" w:hRule="exact" w:wrap="around" w:vAnchor="page" w:hAnchor="page" w:x="1469" w:y="5684" w:anchorLock="1"/>
        <w:spacing w:before="180" w:line="240" w:lineRule="atLeast"/>
        <w:textAlignment w:val="bottom"/>
        <w:rPr>
          <w:sz w:val="21"/>
          <w:szCs w:val="28"/>
          <w:lang w:val="fr-FR"/>
        </w:rPr>
      </w:pPr>
      <w:r>
        <w:rPr>
          <w:rFonts w:hint="eastAsia"/>
          <w:sz w:val="21"/>
          <w:szCs w:val="28"/>
          <w:lang w:val="fr-FR"/>
        </w:rPr>
        <w:t>（</w:t>
      </w:r>
      <w:r>
        <w:rPr>
          <w:rFonts w:hint="eastAsia"/>
          <w:sz w:val="21"/>
          <w:szCs w:val="28"/>
        </w:rPr>
        <w:t>本草案完成时间</w:t>
      </w:r>
      <w:r>
        <w:rPr>
          <w:rFonts w:hint="eastAsia"/>
          <w:sz w:val="21"/>
          <w:szCs w:val="28"/>
          <w:lang w:val="fr-FR"/>
        </w:rPr>
        <w:t>：2023</w:t>
      </w:r>
      <w:r>
        <w:rPr>
          <w:rFonts w:hint="eastAsia"/>
          <w:sz w:val="21"/>
          <w:szCs w:val="28"/>
        </w:rPr>
        <w:t>年</w:t>
      </w:r>
      <w:r>
        <w:rPr>
          <w:rFonts w:hint="eastAsia"/>
          <w:sz w:val="21"/>
          <w:szCs w:val="28"/>
          <w:lang w:val="fr-FR"/>
        </w:rPr>
        <w:t>04</w:t>
      </w:r>
      <w:r>
        <w:rPr>
          <w:rFonts w:hint="eastAsia"/>
          <w:sz w:val="21"/>
          <w:szCs w:val="28"/>
        </w:rPr>
        <w:t>月</w:t>
      </w:r>
      <w:r>
        <w:rPr>
          <w:rFonts w:hint="eastAsia"/>
          <w:sz w:val="21"/>
          <w:szCs w:val="28"/>
          <w:lang w:val="fr-FR"/>
        </w:rPr>
        <w:t>）</w:t>
      </w:r>
    </w:p>
    <w:p>
      <w:pPr>
        <w:pStyle w:val="14"/>
        <w:framePr w:w="9639" w:h="6974" w:hRule="exact" w:wrap="around" w:vAnchor="page" w:hAnchor="page" w:x="1469" w:y="5684" w:anchorLock="1"/>
        <w:spacing w:before="180" w:line="240" w:lineRule="atLeast"/>
        <w:textAlignment w:val="bottom"/>
        <w:rPr>
          <w:sz w:val="21"/>
          <w:szCs w:val="28"/>
          <w:lang w:val="fr-FR"/>
        </w:rPr>
      </w:pPr>
    </w:p>
    <w:p>
      <w:pPr>
        <w:pStyle w:val="14"/>
        <w:framePr w:w="9639" w:h="6974" w:hRule="exact" w:wrap="around" w:vAnchor="page" w:hAnchor="page" w:x="1469" w:y="5684"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7" w:name="下拉2"/>
      <w:r>
        <w:rPr>
          <w:b/>
          <w:sz w:val="21"/>
          <w:szCs w:val="28"/>
        </w:rPr>
        <w:instrText xml:space="preserve"> FORMDROPDOWN </w:instrText>
      </w:r>
      <w:r>
        <w:rPr>
          <w:b/>
          <w:sz w:val="21"/>
          <w:szCs w:val="28"/>
        </w:rPr>
        <w:fldChar w:fldCharType="separate"/>
      </w:r>
      <w:r>
        <w:rPr>
          <w:b/>
          <w:sz w:val="21"/>
          <w:szCs w:val="28"/>
        </w:rPr>
        <w:fldChar w:fldCharType="end"/>
      </w:r>
      <w:bookmarkEnd w:id="7"/>
    </w:p>
    <w:p>
      <w:pPr>
        <w:pStyle w:val="15"/>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fldChar w:fldCharType="separate"/>
      </w:r>
      <w:r>
        <w:rPr>
          <w:rFonts w:ascii="黑体"/>
        </w:rPr>
        <w:t>202</w:t>
      </w:r>
      <w:r>
        <w:rPr>
          <w:rFonts w:hint="eastAsia" w:ascii="黑体"/>
        </w:rPr>
        <w:t>2</w:t>
      </w:r>
      <w:r>
        <w:rPr>
          <w:rFonts w:ascii="黑体"/>
        </w:rPr>
        <w:fldChar w:fldCharType="end"/>
      </w:r>
      <w:bookmarkEnd w:id="8"/>
      <w:r>
        <w:rPr>
          <w:rFonts w:ascii="黑体"/>
        </w:rPr>
        <w:t>-</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ascii="黑体"/>
        </w:rPr>
        <w:t>-</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p>
    <w:p>
      <w:pPr>
        <w:pStyle w:val="17"/>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fldChar w:fldCharType="separate"/>
      </w:r>
      <w:r>
        <w:rPr>
          <w:rFonts w:ascii="黑体"/>
        </w:rPr>
        <w:t>202</w:t>
      </w:r>
      <w:r>
        <w:rPr>
          <w:rFonts w:hint="eastAsia" w:ascii="黑体"/>
        </w:rPr>
        <w:t>2</w:t>
      </w:r>
      <w:r>
        <w:rPr>
          <w:rFonts w:ascii="黑体"/>
        </w:rPr>
        <w:fldChar w:fldCharType="end"/>
      </w:r>
      <w:bookmarkEnd w:id="11"/>
      <w:r>
        <w:rPr>
          <w:rFonts w:ascii="黑体"/>
        </w:rPr>
        <w:t>-</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19"/>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4"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中华人民共和国国家发展和改革委员会</w:t>
      </w:r>
      <w:r>
        <w:rPr>
          <w:rFonts w:hAnsi="黑体"/>
          <w:w w:val="100"/>
          <w:sz w:val="28"/>
        </w:rPr>
        <w:fldChar w:fldCharType="end"/>
      </w:r>
      <w:bookmarkEnd w:id="14"/>
      <w:r>
        <w:rPr>
          <w:rFonts w:ascii="Times New Roman"/>
          <w:w w:val="100"/>
          <w:sz w:val="28"/>
          <w:szCs w:val="28"/>
        </w:rPr>
        <w:t>  </w:t>
      </w:r>
      <w:r>
        <w:rPr>
          <w:rStyle w:val="21"/>
          <w:rFonts w:hint="eastAsia" w:hAnsi="黑体"/>
        </w:rPr>
        <w:t>发布</w:t>
      </w:r>
    </w:p>
    <w:tbl>
      <w:tblPr>
        <w:tblStyle w:val="6"/>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3"/>
              <w:framePr w:wrap="notBeside" w:vAnchor="page" w:hAnchor="page" w:x="1412" w:y="2646"/>
              <w:tabs>
                <w:tab w:val="clear" w:pos="4153"/>
                <w:tab w:val="clear" w:pos="8306"/>
              </w:tabs>
              <w:jc w:val="left"/>
              <w:rPr>
                <w:rFonts w:ascii="黑体" w:hAnsi="黑体" w:eastAsia="黑体" w:cs="Times New Roman"/>
                <w:kern w:val="0"/>
                <w:sz w:val="21"/>
                <w:szCs w:val="21"/>
              </w:rPr>
            </w:pPr>
            <w:r>
              <w:rPr>
                <w:rFonts w:ascii="Times New Roman" w:hAnsi="Times New Roman" w:eastAsia="黑体" w:cs="Times New Roman"/>
                <w:kern w:val="0"/>
                <w:sz w:val="21"/>
                <w:szCs w:val="21"/>
              </w:rPr>
              <w:t>ICS</w:t>
            </w:r>
          </w:p>
        </w:tc>
        <w:tc>
          <w:tcPr>
            <w:tcW w:w="8855" w:type="dxa"/>
          </w:tcPr>
          <w:p>
            <w:pPr>
              <w:pStyle w:val="3"/>
              <w:framePr w:wrap="notBeside" w:vAnchor="page" w:hAnchor="page" w:x="1412" w:y="2646"/>
              <w:tabs>
                <w:tab w:val="clear" w:pos="4153"/>
                <w:tab w:val="clear" w:pos="8306"/>
              </w:tabs>
              <w:ind w:left="3"/>
              <w:jc w:val="both"/>
              <w:rPr>
                <w:rFonts w:ascii="黑体" w:hAnsi="黑体" w:eastAsia="黑体" w:cs="Times New Roman"/>
                <w:kern w:val="0"/>
                <w:sz w:val="21"/>
                <w:szCs w:val="21"/>
              </w:rPr>
            </w:pPr>
            <w:r>
              <w:rPr>
                <w:rFonts w:hint="eastAsia" w:ascii="黑体" w:hAnsi="黑体" w:eastAsia="黑体" w:cs="Times New Roman"/>
                <w:kern w:val="0"/>
                <w:sz w:val="21"/>
                <w:szCs w:val="21"/>
              </w:rPr>
              <w:t>0</w:t>
            </w:r>
            <w:r>
              <w:rPr>
                <w:rFonts w:ascii="黑体" w:hAnsi="黑体" w:eastAsia="黑体" w:cs="Times New Roman"/>
                <w:kern w:val="0"/>
                <w:sz w:val="21"/>
                <w:szCs w:val="21"/>
              </w:rPr>
              <w:t>3.080.01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3"/>
              <w:framePr w:wrap="notBeside" w:vAnchor="page" w:hAnchor="page" w:x="1412" w:y="2646"/>
              <w:tabs>
                <w:tab w:val="clear" w:pos="4153"/>
                <w:tab w:val="clear" w:pos="8306"/>
              </w:tabs>
              <w:spacing w:before="40"/>
              <w:jc w:val="left"/>
              <w:rPr>
                <w:rFonts w:ascii="黑体" w:hAnsi="黑体" w:eastAsia="黑体" w:cs="Times New Roman"/>
                <w:kern w:val="0"/>
                <w:sz w:val="21"/>
                <w:szCs w:val="21"/>
              </w:rPr>
            </w:pPr>
            <w:r>
              <w:rPr>
                <w:rFonts w:ascii="Times New Roman" w:hAnsi="Times New Roman" w:eastAsia="黑体" w:cs="Times New Roman"/>
                <w:kern w:val="0"/>
                <w:sz w:val="21"/>
                <w:szCs w:val="21"/>
              </w:rPr>
              <w:t xml:space="preserve">CCS </w:t>
            </w:r>
          </w:p>
        </w:tc>
        <w:tc>
          <w:tcPr>
            <w:tcW w:w="8855" w:type="dxa"/>
          </w:tcPr>
          <w:p>
            <w:pPr>
              <w:pStyle w:val="3"/>
              <w:framePr w:wrap="notBeside" w:vAnchor="page" w:hAnchor="page" w:x="1412" w:y="2646"/>
              <w:tabs>
                <w:tab w:val="clear" w:pos="4153"/>
                <w:tab w:val="clear" w:pos="8306"/>
              </w:tabs>
              <w:spacing w:before="40"/>
              <w:jc w:val="left"/>
              <w:rPr>
                <w:rFonts w:ascii="黑体" w:hAnsi="黑体" w:eastAsia="黑体" w:cs="Times New Roman"/>
                <w:kern w:val="0"/>
                <w:sz w:val="21"/>
                <w:szCs w:val="21"/>
              </w:rPr>
            </w:pPr>
            <w:r>
              <w:rPr>
                <w:rFonts w:hint="eastAsia" w:ascii="黑体" w:hAnsi="黑体" w:eastAsia="黑体" w:cs="Times New Roman"/>
                <w:kern w:val="0"/>
                <w:sz w:val="21"/>
                <w:szCs w:val="21"/>
              </w:rPr>
              <w:t>A</w:t>
            </w:r>
            <w:r>
              <w:rPr>
                <w:rFonts w:ascii="黑体" w:hAnsi="黑体" w:eastAsia="黑体" w:cs="Times New Roman"/>
                <w:kern w:val="0"/>
                <w:sz w:val="21"/>
                <w:szCs w:val="21"/>
              </w:rPr>
              <w:t xml:space="preserve"> 20</w:t>
            </w:r>
          </w:p>
        </w:tc>
      </w:tr>
    </w:tbl>
    <w:p>
      <w:pPr>
        <w:rPr>
          <w:rFonts w:ascii="宋体" w:hAnsi="宋体"/>
          <w:sz w:val="28"/>
          <w:szCs w:val="28"/>
        </w:rPr>
        <w:sectPr>
          <w:headerReference r:id="rId4" w:type="first"/>
          <w:footerReference r:id="rId6" w:type="first"/>
          <w:headerReference r:id="rId3" w:type="default"/>
          <w:footerReference r:id="rId5" w:type="even"/>
          <w:pgSz w:w="11906" w:h="16838"/>
          <w:pgMar w:top="567" w:right="1134" w:bottom="1021" w:left="1134" w:header="1418" w:footer="1134" w:gutter="284"/>
          <w:cols w:space="425" w:num="1"/>
          <w:titlePg/>
          <w:docGrid w:linePitch="312" w:charSpace="0"/>
        </w:sect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margin">
                  <wp:align>left</wp:align>
                </wp:positionH>
                <wp:positionV relativeFrom="page">
                  <wp:posOffset>3339465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top:262.95pt;height:0pt;width:481.9pt;mso-position-horizontal:left;mso-position-horizontal-relative:margin;mso-position-vertical-relative:page;z-index:251659264;mso-width-relative:page;mso-height-relative:page;" filled="f" stroked="t" coordsize="21600,21600" o:allowoverlap="f" o:gfxdata="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BIK7XV&#10;AAAACAEAAA8AAAAAAAAAAQAgAAAAIgAAAGRycy9kb3ducmV2LnhtbFBLAQIUABQAAAAIAIdO4kAN&#10;PiPe6gEAALoDAAAOAAAAAAAAAAEAIAAAACQBAABkcnMvZTJvRG9jLnhtbFBLBQYAAAAABgAGAFkB&#10;AACA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9252585</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55pt;height:0pt;width:481.9pt;mso-position-horizontal-relative:page;mso-position-vertical-relative:page;z-index:251660288;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mp0YvX&#10;AAAADgEAAA8AAAAAAAAAAQAgAAAAIgAAAGRycy9kb3ducmV2LnhtbFBLAQIUABQAAAAIAIdO4kCU&#10;8lY26AEAALgDAAAOAAAAAAAAAAEAIAAAACYBAABkcnMvZTJvRG9jLnhtbFBLBQYAAAAABgAGAFkB&#10;AACABQAAAAA=&#10;">
                <v:fill on="f" focussize="0,0"/>
                <v:stroke color="#000000" joinstyle="round"/>
                <v:imagedata o:title=""/>
                <o:lock v:ext="edit" aspectratio="f"/>
                <w10:anchorlock/>
              </v:line>
            </w:pict>
          </mc:Fallback>
        </mc:AlternateContent>
      </w:r>
    </w:p>
    <w:p>
      <w:pPr>
        <w:pStyle w:val="22"/>
        <w:spacing w:after="360"/>
      </w:pPr>
      <w:bookmarkStart w:id="15" w:name="BookMark2"/>
      <w:r>
        <w:rPr>
          <w:spacing w:val="320"/>
        </w:rPr>
        <w:t>前</w:t>
      </w:r>
      <w:r>
        <w:t>言</w:t>
      </w:r>
    </w:p>
    <w:p>
      <w:pPr>
        <w:pStyle w:val="23"/>
        <w:rPr>
          <w:rFonts w:ascii="Times New Roman"/>
          <w:szCs w:val="21"/>
          <w:lang w:val="zh-TW"/>
        </w:rPr>
      </w:pPr>
      <w:r>
        <w:rPr>
          <w:rFonts w:hint="eastAsia" w:ascii="Times New Roman"/>
          <w:szCs w:val="21"/>
          <w:lang w:val="zh-TW"/>
        </w:rPr>
        <w:t>本文件按照GB/T 1.1—2020《标准化工作导则 第1部分：标准化文件的结构和起草规则》的规定起草。</w:t>
      </w:r>
    </w:p>
    <w:p>
      <w:pPr>
        <w:pStyle w:val="23"/>
        <w:rPr>
          <w:rFonts w:ascii="Times New Roman"/>
          <w:szCs w:val="21"/>
          <w:lang w:val="zh-TW"/>
        </w:rPr>
      </w:pPr>
      <w:r>
        <w:rPr>
          <w:rFonts w:hint="eastAsia" w:ascii="Times New Roman"/>
          <w:szCs w:val="21"/>
          <w:lang w:val="zh-TW"/>
        </w:rPr>
        <w:t>请注意本文件的某些内容可能涉及专利。本文件的发布机构不承担识别专利的责任。</w:t>
      </w:r>
    </w:p>
    <w:p>
      <w:pPr>
        <w:pStyle w:val="23"/>
        <w:rPr>
          <w:rFonts w:ascii="Times New Roman"/>
          <w:szCs w:val="21"/>
          <w:lang w:val="zh-TW"/>
        </w:rPr>
      </w:pPr>
      <w:r>
        <w:rPr>
          <w:rFonts w:hint="eastAsia" w:ascii="Times New Roman"/>
          <w:szCs w:val="21"/>
          <w:lang w:val="zh-TW"/>
        </w:rPr>
        <w:t>本文件由中国物流与采购联合会提出。</w:t>
      </w:r>
    </w:p>
    <w:p>
      <w:pPr>
        <w:pStyle w:val="23"/>
        <w:rPr>
          <w:rFonts w:ascii="Times New Roman"/>
          <w:szCs w:val="21"/>
          <w:lang w:val="zh-TW"/>
        </w:rPr>
      </w:pPr>
      <w:r>
        <w:rPr>
          <w:rFonts w:hint="eastAsia" w:ascii="Times New Roman"/>
          <w:szCs w:val="21"/>
          <w:lang w:val="zh-TW"/>
        </w:rPr>
        <w:t>本文件由全国物流标准化技术委员会（SAC/TC 269）归口。</w:t>
      </w:r>
    </w:p>
    <w:p>
      <w:pPr>
        <w:pStyle w:val="23"/>
        <w:rPr>
          <w:rFonts w:ascii="Times New Roman"/>
          <w:szCs w:val="21"/>
          <w:lang w:val="zh-TW"/>
        </w:rPr>
      </w:pPr>
      <w:r>
        <w:rPr>
          <w:rFonts w:hint="eastAsia" w:ascii="Times New Roman"/>
          <w:szCs w:val="21"/>
          <w:lang w:val="zh-TW"/>
        </w:rPr>
        <w:t>本文件起草单位：中国物流与采购联合会绿色物流分会、宝供物流企业集团有限公司、重庆长安民生物流股份有限公司、厦门航空有限公司、深圳顺丰泰森控股（集团）有限公司、云丰国际物流（上海）有限公司、深圳市凯东源现代物流股份有限公司、北汽福田汽车股份有限公司、厦门象屿股份有限公司、厦门国贸集团股份有限公司、鄂尔多斯市鑫聚源供应链管理有限责任公司、江苏满运软件科技有限公司、中国外运股份有限公司、北京京邦达贸易有限公司、亿海蓝（北京）数据技术股份公司、荣庆物流供应链有限公司、中理检验有限公司、内蒙古盛邦选煤有限公司、地上铁租车（深圳）有限公司、江苏飞力达国际物流股份有限公司、运易通科技有限公司、安井食品集团股份有限公司、物资节能中心、鞍山钢铁集团有限公司、上海第二工业大学、北京交通大学、北京中物冷联企业管理有限公司、绿库（上海）科技有限责任公司、交通运输部规划研究院、智慧绿色货运咨询（北京）有限公司。</w:t>
      </w:r>
    </w:p>
    <w:p>
      <w:pPr>
        <w:pStyle w:val="11"/>
        <w:ind w:firstLine="420"/>
      </w:pPr>
      <w:r>
        <w:rPr>
          <w:rFonts w:hint="eastAsia" w:ascii="Times New Roman"/>
          <w:szCs w:val="21"/>
          <w:lang w:val="zh-TW" w:eastAsia="zh-TW"/>
        </w:rPr>
        <w:t>本文件主要起草人：</w:t>
      </w:r>
      <w:r>
        <w:rPr>
          <w:rFonts w:hint="eastAsia" w:ascii="Times New Roman"/>
          <w:szCs w:val="21"/>
          <w:lang w:val="zh-TW"/>
        </w:rPr>
        <w:t>赵洁玉、刘翠、廖家华、周铁鹰、高国庆、董彬、刘远、武锡斌、邓启东、姚小丽、刘文利、李大学、高翔、段艳健、张奕希、熊星明、杨黎声、王兴利、张海莹、盛化伟、李灏源、刘珀均、李嘉舟、刘然、刘哲、崔丹丹、蒋浩、侯海云、郝皓、张晓东、周志成、秦玉鸣、陈盛、尹斐洁、安菲、唐香香、王晓晓、刘亮、李照、王伟、刘彦栋、王波勇、</w:t>
      </w:r>
      <w:bookmarkStart w:id="16" w:name="_Hlk109907632"/>
      <w:r>
        <w:rPr>
          <w:rFonts w:hint="eastAsia" w:ascii="Times New Roman"/>
          <w:szCs w:val="21"/>
          <w:lang w:val="zh-TW"/>
        </w:rPr>
        <w:t>卢山、杨道源、</w:t>
      </w:r>
      <w:bookmarkEnd w:id="16"/>
      <w:r>
        <w:rPr>
          <w:rFonts w:hint="eastAsia" w:ascii="Times New Roman"/>
          <w:szCs w:val="21"/>
          <w:lang w:val="zh-TW"/>
        </w:rPr>
        <w:t>李晓易</w:t>
      </w:r>
      <w:r>
        <w:rPr>
          <w:rFonts w:hint="eastAsia" w:ascii="Times New Roman"/>
          <w:szCs w:val="21"/>
          <w:lang w:val="zh-TW" w:eastAsia="zh-TW"/>
        </w:rPr>
        <w:t>。</w:t>
      </w:r>
    </w:p>
    <w:p>
      <w:pPr>
        <w:pStyle w:val="11"/>
        <w:ind w:firstLine="420"/>
      </w:pPr>
    </w:p>
    <w:p>
      <w:pPr>
        <w:pStyle w:val="11"/>
        <w:ind w:firstLine="0" w:firstLineChars="0"/>
        <w:sectPr>
          <w:headerReference r:id="rId7" w:type="default"/>
          <w:footerReference r:id="rId9" w:type="default"/>
          <w:headerReference r:id="rId8" w:type="even"/>
          <w:pgSz w:w="11906" w:h="16838"/>
          <w:pgMar w:top="567" w:right="1134" w:bottom="1134" w:left="1134" w:header="1418" w:footer="1134" w:gutter="284"/>
          <w:pgNumType w:fmt="upperRoman" w:start="1"/>
          <w:cols w:space="425" w:num="1"/>
          <w:formProt w:val="0"/>
          <w:docGrid w:linePitch="312" w:charSpace="0"/>
        </w:sectPr>
      </w:pPr>
    </w:p>
    <w:bookmarkEnd w:id="15"/>
    <w:p>
      <w:pPr>
        <w:spacing w:line="20" w:lineRule="exact"/>
        <w:jc w:val="center"/>
        <w:rPr>
          <w:rFonts w:ascii="黑体" w:hAnsi="黑体" w:eastAsia="黑体"/>
          <w:sz w:val="32"/>
          <w:szCs w:val="32"/>
        </w:rPr>
      </w:pPr>
      <w:bookmarkStart w:id="17" w:name="BookMark4"/>
    </w:p>
    <w:p>
      <w:pPr>
        <w:spacing w:line="20" w:lineRule="exact"/>
        <w:jc w:val="center"/>
        <w:rPr>
          <w:rFonts w:ascii="黑体" w:hAnsi="黑体" w:eastAsia="黑体"/>
          <w:sz w:val="32"/>
          <w:szCs w:val="32"/>
        </w:rPr>
      </w:pPr>
    </w:p>
    <w:sdt>
      <w:sdtPr>
        <w:tag w:val="NEW_STAND_NAME"/>
        <w:id w:val="595910757"/>
        <w:placeholder>
          <w:docPart w:val="{27394fa5-5912-480e-bcbd-49fea7b0fe94}"/>
        </w:placeholder>
      </w:sdtPr>
      <w:sdtContent>
        <w:p>
          <w:pPr>
            <w:pStyle w:val="24"/>
            <w:spacing w:before="436" w:beforeLines="182" w:after="528" w:afterLines="220"/>
          </w:pPr>
          <w:bookmarkStart w:id="18" w:name="NEW_STAND_NAME"/>
          <w:r>
            <w:rPr>
              <w:rFonts w:hint="eastAsia"/>
            </w:rPr>
            <w:t>物流企业绿色物流评估指标</w:t>
          </w:r>
        </w:p>
      </w:sdtContent>
    </w:sdt>
    <w:bookmarkEnd w:id="18"/>
    <w:p>
      <w:pPr>
        <w:pStyle w:val="25"/>
        <w:spacing w:before="240" w:after="240"/>
      </w:pPr>
      <w:bookmarkStart w:id="19" w:name="_Toc26986771"/>
      <w:bookmarkStart w:id="20" w:name="_Toc17233333"/>
      <w:bookmarkStart w:id="21" w:name="_Toc26648465"/>
      <w:bookmarkStart w:id="22" w:name="_Toc26986530"/>
      <w:bookmarkStart w:id="23" w:name="_Toc24884211"/>
      <w:bookmarkStart w:id="24" w:name="_Toc26718930"/>
      <w:bookmarkStart w:id="25" w:name="_Toc24884218"/>
      <w:bookmarkStart w:id="26" w:name="_Toc17233325"/>
      <w:r>
        <w:rPr>
          <w:rFonts w:hint="eastAsia"/>
        </w:rPr>
        <w:t>范围</w:t>
      </w:r>
      <w:bookmarkEnd w:id="19"/>
      <w:bookmarkEnd w:id="20"/>
      <w:bookmarkEnd w:id="21"/>
      <w:bookmarkEnd w:id="22"/>
      <w:bookmarkEnd w:id="23"/>
      <w:bookmarkEnd w:id="24"/>
      <w:bookmarkEnd w:id="25"/>
      <w:bookmarkEnd w:id="26"/>
    </w:p>
    <w:p>
      <w:pPr>
        <w:pStyle w:val="23"/>
        <w:rPr>
          <w:rFonts w:ascii="Times New Roman"/>
        </w:rPr>
      </w:pPr>
      <w:bookmarkStart w:id="27" w:name="_Hlk118643232"/>
      <w:bookmarkStart w:id="28" w:name="_Toc24884212"/>
      <w:bookmarkStart w:id="29" w:name="_Toc17233326"/>
      <w:bookmarkStart w:id="30" w:name="_Toc17233334"/>
      <w:bookmarkStart w:id="31" w:name="_Toc24884219"/>
      <w:bookmarkStart w:id="32" w:name="_Toc26648466"/>
      <w:r>
        <w:rPr>
          <w:rFonts w:hint="eastAsia" w:ascii="Times New Roman"/>
        </w:rPr>
        <w:t>本文件规定了物流</w:t>
      </w:r>
      <w:r>
        <w:rPr>
          <w:rFonts w:hint="eastAsia"/>
        </w:rPr>
        <w:t>企业绿色物流评估的基本要求、物流企业类型和级别划分、绿色物流评估指标以及评估指标计算方法</w:t>
      </w:r>
      <w:r>
        <w:rPr>
          <w:rFonts w:ascii="Times New Roman"/>
        </w:rPr>
        <w:t>。</w:t>
      </w:r>
    </w:p>
    <w:p>
      <w:pPr>
        <w:pStyle w:val="11"/>
        <w:ind w:firstLine="420"/>
      </w:pPr>
      <w:bookmarkStart w:id="33" w:name="_Hlk111304141"/>
      <w:bookmarkStart w:id="34" w:name="_Hlk111360270"/>
      <w:bookmarkStart w:id="35" w:name="_Hlk119282001"/>
      <w:bookmarkStart w:id="36" w:name="_Hlk111308392"/>
      <w:r>
        <w:rPr>
          <w:rFonts w:hint="eastAsia" w:ascii="Times New Roman"/>
          <w:color w:val="000000" w:themeColor="text1"/>
          <w14:textFill>
            <w14:solidFill>
              <w14:schemeClr w14:val="tx1"/>
            </w14:solidFill>
          </w14:textFill>
        </w:rPr>
        <w:t>本文件适用于物流企业绿色物流的评估</w:t>
      </w:r>
      <w:bookmarkEnd w:id="33"/>
      <w:r>
        <w:rPr>
          <w:rFonts w:hint="eastAsia" w:ascii="Times New Roman"/>
          <w:color w:val="000000" w:themeColor="text1"/>
          <w14:textFill>
            <w14:solidFill>
              <w14:schemeClr w14:val="tx1"/>
            </w14:solidFill>
          </w14:textFill>
        </w:rPr>
        <w:t>，</w:t>
      </w:r>
      <w:bookmarkEnd w:id="34"/>
      <w:r>
        <w:rPr>
          <w:rFonts w:hint="eastAsia" w:ascii="Times New Roman"/>
          <w:color w:val="000000" w:themeColor="text1"/>
          <w14:textFill>
            <w14:solidFill>
              <w14:schemeClr w14:val="tx1"/>
            </w14:solidFill>
          </w14:textFill>
        </w:rPr>
        <w:t>其他企业可参照执行</w:t>
      </w:r>
      <w:bookmarkEnd w:id="35"/>
      <w:r>
        <w:rPr>
          <w:rFonts w:ascii="Times New Roman"/>
          <w:color w:val="000000" w:themeColor="text1"/>
          <w14:textFill>
            <w14:solidFill>
              <w14:schemeClr w14:val="tx1"/>
            </w14:solidFill>
          </w14:textFill>
        </w:rPr>
        <w:t>。</w:t>
      </w:r>
      <w:bookmarkEnd w:id="27"/>
      <w:bookmarkEnd w:id="36"/>
    </w:p>
    <w:p>
      <w:pPr>
        <w:pStyle w:val="25"/>
        <w:spacing w:before="240" w:after="240"/>
      </w:pPr>
      <w:bookmarkStart w:id="37" w:name="_Toc26718931"/>
      <w:bookmarkStart w:id="38" w:name="_Toc26986772"/>
      <w:bookmarkStart w:id="39" w:name="_Toc26986531"/>
      <w:r>
        <w:rPr>
          <w:rFonts w:hint="eastAsia"/>
        </w:rPr>
        <w:t>规范性引用文件</w:t>
      </w:r>
      <w:bookmarkEnd w:id="28"/>
      <w:bookmarkEnd w:id="29"/>
      <w:bookmarkEnd w:id="30"/>
      <w:bookmarkEnd w:id="31"/>
      <w:bookmarkEnd w:id="32"/>
      <w:bookmarkEnd w:id="37"/>
      <w:bookmarkEnd w:id="38"/>
      <w:bookmarkEnd w:id="39"/>
    </w:p>
    <w:sdt>
      <w:sdtPr>
        <w:rPr>
          <w:rFonts w:hint="eastAsia"/>
        </w:rPr>
        <w:id w:val="715848253"/>
        <w:placeholder>
          <w:docPart w:val="{d046456c-2af0-4913-abd4-93bb9a836b0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1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11"/>
        <w:ind w:firstLine="420"/>
        <w:rPr>
          <w:rFonts w:ascii="Times New Roman"/>
        </w:rPr>
      </w:pPr>
      <w:r>
        <w:rPr>
          <w:rFonts w:hint="eastAsia" w:ascii="Times New Roman"/>
        </w:rPr>
        <w:t>G</w:t>
      </w:r>
      <w:r>
        <w:rPr>
          <w:rFonts w:ascii="Times New Roman"/>
        </w:rPr>
        <w:t xml:space="preserve">B/T </w:t>
      </w:r>
      <w:r>
        <w:rPr>
          <w:rFonts w:hint="eastAsia" w:ascii="Times New Roman"/>
        </w:rPr>
        <w:t>18354</w:t>
      </w:r>
      <w:r>
        <w:rPr>
          <w:rFonts w:ascii="Times New Roman"/>
        </w:rPr>
        <w:t xml:space="preserve"> </w:t>
      </w:r>
      <w:r>
        <w:rPr>
          <w:rFonts w:hint="eastAsia" w:ascii="Times New Roman"/>
        </w:rPr>
        <w:t>物流术语</w:t>
      </w:r>
    </w:p>
    <w:p>
      <w:pPr>
        <w:pStyle w:val="11"/>
        <w:ind w:firstLine="420"/>
        <w:rPr>
          <w:rFonts w:ascii="Times New Roman"/>
        </w:rPr>
      </w:pPr>
      <w:r>
        <w:rPr>
          <w:rFonts w:hint="eastAsia" w:ascii="Times New Roman"/>
        </w:rPr>
        <w:t>GB/T 19001 质量管理体系 要求</w:t>
      </w:r>
    </w:p>
    <w:p>
      <w:pPr>
        <w:pStyle w:val="11"/>
        <w:ind w:firstLine="420"/>
        <w:rPr>
          <w:rFonts w:ascii="Times New Roman"/>
        </w:rPr>
      </w:pPr>
      <w:r>
        <w:rPr>
          <w:rFonts w:hint="eastAsia" w:ascii="Times New Roman"/>
        </w:rPr>
        <w:t>GB/T 19680 物流企业分类与评估指标</w:t>
      </w:r>
    </w:p>
    <w:p>
      <w:pPr>
        <w:pStyle w:val="11"/>
        <w:ind w:firstLine="420"/>
        <w:rPr>
          <w:rFonts w:ascii="Times New Roman"/>
        </w:rPr>
      </w:pPr>
      <w:r>
        <w:rPr>
          <w:rFonts w:hint="eastAsia" w:ascii="Times New Roman"/>
        </w:rPr>
        <w:t>GB/T 23331 能源管理体系 要求及使用指南</w:t>
      </w:r>
    </w:p>
    <w:p>
      <w:pPr>
        <w:pStyle w:val="11"/>
        <w:ind w:firstLine="420"/>
        <w:rPr>
          <w:rFonts w:ascii="Times New Roman"/>
        </w:rPr>
      </w:pPr>
      <w:r>
        <w:rPr>
          <w:rFonts w:hint="eastAsia" w:ascii="Times New Roman"/>
        </w:rPr>
        <w:t>GB/T 24001 环境管理体系 要求及使用指南</w:t>
      </w:r>
    </w:p>
    <w:p>
      <w:pPr>
        <w:pStyle w:val="11"/>
        <w:ind w:firstLine="420"/>
        <w:rPr>
          <w:rFonts w:ascii="Times New Roman"/>
        </w:rPr>
      </w:pPr>
      <w:r>
        <w:rPr>
          <w:rFonts w:ascii="Times New Roman"/>
        </w:rPr>
        <w:t>GB/T 37099 绿色物流指标构成与核算方法</w:t>
      </w:r>
    </w:p>
    <w:p>
      <w:pPr>
        <w:pStyle w:val="25"/>
        <w:spacing w:before="240" w:after="240"/>
      </w:pPr>
      <w:r>
        <w:rPr>
          <w:rFonts w:hint="eastAsia"/>
          <w:szCs w:val="21"/>
        </w:rPr>
        <w:t>术语和定义</w:t>
      </w:r>
    </w:p>
    <w:sdt>
      <w:sdtPr>
        <w:rPr>
          <w:rFonts w:hint="eastAsia" w:ascii="Times New Roman"/>
        </w:rPr>
        <w:id w:val="-1909835108"/>
        <w:placeholder>
          <w:docPart w:val="{fc3eb831-b645-4ed7-a4b4-16da2b3b08b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Times New Roman"/>
        </w:rPr>
      </w:sdtEndPr>
      <w:sdtContent>
        <w:p>
          <w:pPr>
            <w:pStyle w:val="11"/>
            <w:ind w:firstLine="420"/>
          </w:pPr>
          <w:bookmarkStart w:id="40" w:name="_Toc26986532"/>
          <w:bookmarkEnd w:id="40"/>
          <w:r>
            <w:rPr>
              <w:rFonts w:hint="eastAsia" w:ascii="Times New Roman"/>
            </w:rPr>
            <w:t>GB/T 18354、GB/T 37099界定的以及下列术语和定义适用于本文件。</w:t>
          </w:r>
        </w:p>
      </w:sdtContent>
    </w:sdt>
    <w:p>
      <w:pPr>
        <w:pStyle w:val="26"/>
        <w:spacing w:before="120" w:after="120"/>
      </w:pPr>
    </w:p>
    <w:p>
      <w:pPr>
        <w:pStyle w:val="26"/>
        <w:spacing w:before="120" w:after="120"/>
        <w:ind w:firstLine="420" w:firstLineChars="200"/>
      </w:pPr>
      <w:bookmarkStart w:id="41" w:name="_Hlk121214728"/>
      <w:r>
        <w:rPr>
          <w:rFonts w:hAnsi="黑体"/>
        </w:rPr>
        <w:t>物流</w:t>
      </w:r>
      <w:r>
        <w:rPr>
          <w:rFonts w:hint="eastAsia" w:hAnsi="黑体"/>
        </w:rPr>
        <w:t xml:space="preserve">企业 </w:t>
      </w:r>
      <w:r>
        <w:rPr>
          <w:rFonts w:ascii="Times New Roman"/>
        </w:rPr>
        <w:t>logistics service provider</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从事物流基本功能范围内的物流业务设计及系统运作，具有与自身业务相适应的信息管理系统，实行独立核算、独立承担民事责任的经济组织</w:t>
      </w:r>
      <w:r>
        <w:rPr>
          <w:rFonts w:ascii="Times New Roman"/>
          <w:color w:val="000000" w:themeColor="text1"/>
          <w14:textFill>
            <w14:solidFill>
              <w14:schemeClr w14:val="tx1"/>
            </w14:solidFill>
          </w14:textFill>
        </w:rPr>
        <w:t>。</w:t>
      </w:r>
    </w:p>
    <w:p>
      <w:pPr>
        <w:pStyle w:val="11"/>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w:t>
      </w:r>
      <w:r>
        <w:rPr>
          <w:rFonts w:hint="eastAsia" w:ascii="Times New Roman"/>
          <w:color w:val="000000" w:themeColor="text1"/>
          <w:szCs w:val="21"/>
          <w14:textFill>
            <w14:solidFill>
              <w14:schemeClr w14:val="tx1"/>
            </w14:solidFill>
          </w14:textFill>
        </w:rPr>
        <w:t>来源：</w:t>
      </w:r>
      <w:r>
        <w:rPr>
          <w:rFonts w:ascii="Times New Roman"/>
          <w:color w:val="000000" w:themeColor="text1"/>
          <w14:textFill>
            <w14:solidFill>
              <w14:schemeClr w14:val="tx1"/>
            </w14:solidFill>
          </w14:textFill>
        </w:rPr>
        <w:t xml:space="preserve">GB/T </w:t>
      </w:r>
      <w:r>
        <w:rPr>
          <w:rFonts w:hint="eastAsia" w:ascii="Times New Roman"/>
          <w:color w:val="000000" w:themeColor="text1"/>
          <w14:textFill>
            <w14:solidFill>
              <w14:schemeClr w14:val="tx1"/>
            </w14:solidFill>
          </w14:textFill>
        </w:rPr>
        <w:t>18354</w:t>
      </w:r>
      <w:r>
        <w:rPr>
          <w:rFonts w:hint="eastAsia" w:ascii="Times New Roman"/>
          <w:szCs w:val="21"/>
          <w:lang w:val="zh-TW"/>
        </w:rPr>
        <w:t>—</w:t>
      </w:r>
      <w:r>
        <w:rPr>
          <w:rFonts w:ascii="Times New Roman"/>
          <w:color w:val="000000" w:themeColor="text1"/>
          <w14:textFill>
            <w14:solidFill>
              <w14:schemeClr w14:val="tx1"/>
            </w14:solidFill>
          </w14:textFill>
        </w:rPr>
        <w:t>20</w:t>
      </w:r>
      <w:r>
        <w:rPr>
          <w:rFonts w:hint="eastAsia" w:ascii="Times New Roman"/>
          <w:color w:val="000000" w:themeColor="text1"/>
          <w14:textFill>
            <w14:solidFill>
              <w14:schemeClr w14:val="tx1"/>
            </w14:solidFill>
          </w14:textFill>
        </w:rPr>
        <w:t>21，</w:t>
      </w:r>
      <w:r>
        <w:rPr>
          <w:rFonts w:ascii="Times New Roman"/>
          <w:color w:val="000000" w:themeColor="text1"/>
          <w14:textFill>
            <w14:solidFill>
              <w14:schemeClr w14:val="tx1"/>
            </w14:solidFill>
          </w14:textFill>
        </w:rPr>
        <w:t>3.1</w:t>
      </w:r>
      <w:r>
        <w:rPr>
          <w:rFonts w:hint="eastAsia" w:ascii="Times New Roman"/>
          <w:color w:val="000000" w:themeColor="text1"/>
          <w14:textFill>
            <w14:solidFill>
              <w14:schemeClr w14:val="tx1"/>
            </w14:solidFill>
          </w14:textFill>
        </w:rPr>
        <w:t>8]</w:t>
      </w:r>
    </w:p>
    <w:bookmarkEnd w:id="41"/>
    <w:p>
      <w:pPr>
        <w:pStyle w:val="26"/>
        <w:spacing w:before="120" w:after="120"/>
      </w:pPr>
    </w:p>
    <w:p>
      <w:pPr>
        <w:pStyle w:val="26"/>
        <w:spacing w:before="120" w:after="120"/>
        <w:ind w:firstLine="420" w:firstLineChars="200"/>
        <w:rPr>
          <w:rFonts w:ascii="Times New Roman"/>
        </w:rPr>
      </w:pPr>
      <w:r>
        <w:rPr>
          <w:rFonts w:hAnsi="黑体"/>
        </w:rPr>
        <w:t>绿色物流</w:t>
      </w:r>
      <w:r>
        <w:rPr>
          <w:rFonts w:hint="eastAsia" w:hAnsi="黑体"/>
        </w:rPr>
        <w:t xml:space="preserve"> </w:t>
      </w:r>
      <w:r>
        <w:rPr>
          <w:rFonts w:ascii="Times New Roman"/>
        </w:rPr>
        <w:t>green logistics</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通过</w:t>
      </w:r>
      <w:r>
        <w:rPr>
          <w:rFonts w:ascii="Times New Roman"/>
          <w:color w:val="000000" w:themeColor="text1"/>
          <w14:textFill>
            <w14:solidFill>
              <w14:schemeClr w14:val="tx1"/>
            </w14:solidFill>
          </w14:textFill>
        </w:rPr>
        <w:t>充分利用物流资源、采用先进的物流技术，合理规划和实施运输、储存、装卸、搬运、包装、</w:t>
      </w:r>
      <w:r>
        <w:rPr>
          <w:rFonts w:hint="eastAsia" w:ascii="Times New Roman"/>
          <w:color w:val="000000" w:themeColor="text1"/>
          <w14:textFill>
            <w14:solidFill>
              <w14:schemeClr w14:val="tx1"/>
            </w14:solidFill>
          </w14:textFill>
        </w:rPr>
        <w:t>流通</w:t>
      </w:r>
      <w:r>
        <w:rPr>
          <w:rFonts w:ascii="Times New Roman"/>
          <w:color w:val="000000" w:themeColor="text1"/>
          <w14:textFill>
            <w14:solidFill>
              <w14:schemeClr w14:val="tx1"/>
            </w14:solidFill>
          </w14:textFill>
        </w:rPr>
        <w:t>加工、配送、信息处理等物流活动，降低物流活动对环境影响的过程。</w:t>
      </w:r>
    </w:p>
    <w:p>
      <w:pPr>
        <w:pStyle w:val="11"/>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w:t>
      </w:r>
      <w:r>
        <w:rPr>
          <w:rFonts w:hint="eastAsia" w:ascii="Times New Roman"/>
          <w:color w:val="000000" w:themeColor="text1"/>
          <w:szCs w:val="21"/>
          <w14:textFill>
            <w14:solidFill>
              <w14:schemeClr w14:val="tx1"/>
            </w14:solidFill>
          </w14:textFill>
        </w:rPr>
        <w:t>来源：</w:t>
      </w:r>
      <w:r>
        <w:rPr>
          <w:rFonts w:ascii="Times New Roman"/>
          <w:color w:val="000000" w:themeColor="text1"/>
          <w14:textFill>
            <w14:solidFill>
              <w14:schemeClr w14:val="tx1"/>
            </w14:solidFill>
          </w14:textFill>
        </w:rPr>
        <w:t>GB/T 37099</w:t>
      </w:r>
      <w:r>
        <w:rPr>
          <w:rFonts w:hint="eastAsia" w:ascii="Times New Roman"/>
          <w:szCs w:val="21"/>
          <w:lang w:val="zh-TW"/>
        </w:rPr>
        <w:t>—</w:t>
      </w:r>
      <w:r>
        <w:rPr>
          <w:rFonts w:ascii="Times New Roman"/>
          <w:color w:val="000000" w:themeColor="text1"/>
          <w14:textFill>
            <w14:solidFill>
              <w14:schemeClr w14:val="tx1"/>
            </w14:solidFill>
          </w14:textFill>
        </w:rPr>
        <w:t>2018</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3.1</w:t>
      </w:r>
      <w:r>
        <w:rPr>
          <w:rFonts w:hint="eastAsia" w:ascii="Times New Roman"/>
          <w:color w:val="000000" w:themeColor="text1"/>
          <w14:textFill>
            <w14:solidFill>
              <w14:schemeClr w14:val="tx1"/>
            </w14:solidFill>
          </w14:textFill>
        </w:rPr>
        <w:t>]</w:t>
      </w:r>
    </w:p>
    <w:p>
      <w:pPr>
        <w:pStyle w:val="26"/>
        <w:spacing w:before="120" w:after="120"/>
      </w:pPr>
    </w:p>
    <w:p>
      <w:pPr>
        <w:pStyle w:val="26"/>
        <w:spacing w:before="120" w:after="120"/>
        <w:ind w:firstLine="420" w:firstLineChars="200"/>
        <w:rPr>
          <w:rFonts w:hAnsi="黑体"/>
        </w:rPr>
      </w:pPr>
      <w:r>
        <w:rPr>
          <w:rFonts w:hint="eastAsia" w:hAnsi="黑体"/>
        </w:rPr>
        <w:t xml:space="preserve">新能源载运工具 </w:t>
      </w:r>
      <w:r>
        <w:rPr>
          <w:rFonts w:ascii="Times New Roman"/>
        </w:rPr>
        <w:t xml:space="preserve">new energy carrying </w:t>
      </w:r>
      <w:r>
        <w:rPr>
          <w:rFonts w:hint="eastAsia" w:ascii="Times New Roman"/>
        </w:rPr>
        <w:t>equipment</w:t>
      </w:r>
    </w:p>
    <w:p>
      <w:pPr>
        <w:pStyle w:val="11"/>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采用非常规能源，以电力、氢能源作为动力来源，用于运输的交通工具。</w:t>
      </w:r>
    </w:p>
    <w:p>
      <w:pPr>
        <w:pStyle w:val="11"/>
        <w:ind w:left="780" w:leftChars="200" w:hanging="360" w:hangingChars="200"/>
        <w:rPr>
          <w:rFonts w:ascii="Times New Roman"/>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hint="eastAsia" w:ascii="Times New Roman"/>
          <w:color w:val="000000" w:themeColor="text1"/>
          <w:sz w:val="18"/>
          <w:szCs w:val="18"/>
          <w14:textFill>
            <w14:solidFill>
              <w14:schemeClr w14:val="tx1"/>
            </w14:solidFill>
          </w14:textFill>
        </w:rPr>
        <w:t>主要包括纯电动、插电式混合动力、氢能源燃料电池的汽车、船舶、飞机等。</w:t>
      </w:r>
    </w:p>
    <w:p>
      <w:pPr>
        <w:pStyle w:val="26"/>
        <w:spacing w:before="120" w:after="120"/>
      </w:pPr>
    </w:p>
    <w:p>
      <w:pPr>
        <w:pStyle w:val="26"/>
        <w:spacing w:before="120" w:after="120"/>
        <w:ind w:firstLine="420" w:firstLineChars="200"/>
        <w:rPr>
          <w:rFonts w:hAnsi="黑体"/>
        </w:rPr>
      </w:pPr>
      <w:r>
        <w:rPr>
          <w:rFonts w:hint="eastAsia" w:hAnsi="黑体"/>
        </w:rPr>
        <w:t xml:space="preserve">清洁环保载运工具 </w:t>
      </w:r>
      <w:r>
        <w:rPr>
          <w:rFonts w:ascii="Times New Roman"/>
        </w:rPr>
        <w:t>clean fuel carrying equipment</w:t>
      </w:r>
    </w:p>
    <w:p>
      <w:pPr>
        <w:pStyle w:val="11"/>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采用符合国家环保标准的常规能源，或以清洁能源取代常规能源，用于运输的交通工具。</w:t>
      </w:r>
    </w:p>
    <w:p>
      <w:pPr>
        <w:pStyle w:val="11"/>
        <w:ind w:left="780" w:leftChars="200" w:hanging="360" w:hangingChars="200"/>
        <w:rPr>
          <w:rFonts w:ascii="Times New Roman"/>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hint="eastAsia" w:ascii="Times New Roman"/>
          <w:color w:val="000000" w:themeColor="text1"/>
          <w:sz w:val="18"/>
          <w:szCs w:val="18"/>
          <w14:textFill>
            <w14:solidFill>
              <w14:schemeClr w14:val="tx1"/>
            </w14:solidFill>
          </w14:textFill>
        </w:rPr>
        <w:t>主要包括以</w:t>
      </w:r>
      <w:bookmarkStart w:id="42" w:name="_Hlk116885427"/>
      <w:r>
        <w:rPr>
          <w:rFonts w:hint="eastAsia" w:ascii="Times New Roman"/>
          <w:color w:val="000000" w:themeColor="text1"/>
          <w:sz w:val="18"/>
          <w:szCs w:val="18"/>
          <w14:textFill>
            <w14:solidFill>
              <w14:schemeClr w14:val="tx1"/>
            </w14:solidFill>
          </w14:textFill>
        </w:rPr>
        <w:t>国家及行业最新环保标准汽柴油（例：国六标准）、天然气、煤气、甲醇、乙醇、生物燃料、航运低硫燃油、可持续航空燃料等作为动力来源，发动机满足国家最新排放标准的</w:t>
      </w:r>
      <w:bookmarkEnd w:id="42"/>
      <w:r>
        <w:rPr>
          <w:rFonts w:hint="eastAsia" w:ascii="Times New Roman"/>
          <w:color w:val="000000" w:themeColor="text1"/>
          <w:sz w:val="18"/>
          <w:szCs w:val="18"/>
          <w14:textFill>
            <w14:solidFill>
              <w14:schemeClr w14:val="tx1"/>
            </w14:solidFill>
          </w14:textFill>
        </w:rPr>
        <w:t>汽车、船舶、飞机等。</w:t>
      </w:r>
    </w:p>
    <w:p>
      <w:pPr>
        <w:pStyle w:val="26"/>
        <w:spacing w:before="120" w:after="120"/>
      </w:pPr>
    </w:p>
    <w:p>
      <w:pPr>
        <w:pStyle w:val="26"/>
        <w:spacing w:before="120" w:after="120"/>
        <w:ind w:firstLine="420" w:firstLineChars="200"/>
        <w:rPr>
          <w:rFonts w:hAnsi="黑体"/>
        </w:rPr>
      </w:pPr>
      <w:r>
        <w:rPr>
          <w:rFonts w:hint="eastAsia" w:hAnsi="黑体"/>
        </w:rPr>
        <w:t>可再生能源</w:t>
      </w:r>
      <w:r>
        <w:rPr>
          <w:rFonts w:ascii="Times New Roman"/>
        </w:rPr>
        <w:t xml:space="preserve"> renewable energy</w:t>
      </w:r>
    </w:p>
    <w:p>
      <w:pPr>
        <w:pStyle w:val="11"/>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风能、太阳能、水能、生物质能、地热能和海洋能等非化石能源的统称。它们在自然界可以循环再生。是取之不尽，用之不竭的能源，不需要人力参与便会自动再生，是相对于会穷尽的非再生能源的一种能源。</w:t>
      </w:r>
    </w:p>
    <w:p>
      <w:pPr>
        <w:pStyle w:val="11"/>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w:t>
      </w:r>
      <w:r>
        <w:rPr>
          <w:rFonts w:hint="eastAsia" w:ascii="Times New Roman"/>
          <w:color w:val="000000" w:themeColor="text1"/>
          <w:szCs w:val="21"/>
          <w14:textFill>
            <w14:solidFill>
              <w14:schemeClr w14:val="tx1"/>
            </w14:solidFill>
          </w14:textFill>
        </w:rPr>
        <w:t>来源：</w:t>
      </w:r>
      <w:r>
        <w:rPr>
          <w:rFonts w:ascii="Times New Roman"/>
          <w:color w:val="000000" w:themeColor="text1"/>
          <w14:textFill>
            <w14:solidFill>
              <w14:schemeClr w14:val="tx1"/>
            </w14:solidFill>
          </w14:textFill>
        </w:rPr>
        <w:t>GB/T 37099</w:t>
      </w:r>
      <w:r>
        <w:rPr>
          <w:rFonts w:hint="eastAsia" w:ascii="Times New Roman"/>
          <w:szCs w:val="21"/>
          <w:lang w:val="zh-TW"/>
        </w:rPr>
        <w:t>—</w:t>
      </w:r>
      <w:r>
        <w:rPr>
          <w:rFonts w:ascii="Times New Roman"/>
          <w:color w:val="000000" w:themeColor="text1"/>
          <w14:textFill>
            <w14:solidFill>
              <w14:schemeClr w14:val="tx1"/>
            </w14:solidFill>
          </w14:textFill>
        </w:rPr>
        <w:t>2018</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3.</w:t>
      </w:r>
      <w:r>
        <w:rPr>
          <w:rFonts w:hint="eastAsia" w:ascii="Times New Roman"/>
          <w:color w:val="000000" w:themeColor="text1"/>
          <w14:textFill>
            <w14:solidFill>
              <w14:schemeClr w14:val="tx1"/>
            </w14:solidFill>
          </w14:textFill>
        </w:rPr>
        <w:t>3]</w:t>
      </w:r>
    </w:p>
    <w:p>
      <w:pPr>
        <w:pStyle w:val="25"/>
        <w:spacing w:before="240" w:after="240"/>
      </w:pPr>
      <w:r>
        <w:rPr>
          <w:rFonts w:hint="eastAsia"/>
        </w:rPr>
        <w:t>基本要求</w:t>
      </w:r>
    </w:p>
    <w:p>
      <w:pPr>
        <w:pStyle w:val="26"/>
        <w:spacing w:beforeLines="0" w:afterLines="0"/>
        <w:rPr>
          <w:rFonts w:ascii="Times New Roman" w:eastAsia="宋体"/>
          <w:color w:val="000000" w:themeColor="text1"/>
          <w14:textFill>
            <w14:solidFill>
              <w14:schemeClr w14:val="tx1"/>
            </w14:solidFill>
          </w14:textFill>
        </w:rPr>
      </w:pPr>
      <w:bookmarkStart w:id="43" w:name="_Hlk111333825"/>
      <w:r>
        <w:rPr>
          <w:rFonts w:ascii="Times New Roman" w:eastAsia="宋体"/>
          <w:color w:val="000000" w:themeColor="text1"/>
          <w14:textFill>
            <w14:solidFill>
              <w14:schemeClr w14:val="tx1"/>
            </w14:solidFill>
          </w14:textFill>
        </w:rPr>
        <w:t>企业</w:t>
      </w:r>
      <w:r>
        <w:rPr>
          <w:rFonts w:hint="eastAsia" w:ascii="Times New Roman" w:eastAsia="宋体"/>
          <w:color w:val="000000" w:themeColor="text1"/>
          <w14:textFill>
            <w14:solidFill>
              <w14:schemeClr w14:val="tx1"/>
            </w14:solidFill>
          </w14:textFill>
        </w:rPr>
        <w:t>近三年应</w:t>
      </w:r>
      <w:r>
        <w:rPr>
          <w:rFonts w:ascii="Times New Roman" w:eastAsia="宋体"/>
          <w:color w:val="000000" w:themeColor="text1"/>
          <w14:textFill>
            <w14:solidFill>
              <w14:schemeClr w14:val="tx1"/>
            </w14:solidFill>
          </w14:textFill>
        </w:rPr>
        <w:t>无重大安全</w:t>
      </w:r>
      <w:r>
        <w:rPr>
          <w:rFonts w:hint="eastAsia" w:ascii="Times New Roman" w:eastAsia="宋体"/>
          <w:color w:val="000000" w:themeColor="text1"/>
          <w14:textFill>
            <w14:solidFill>
              <w14:schemeClr w14:val="tx1"/>
            </w14:solidFill>
          </w14:textFill>
        </w:rPr>
        <w:t>责任事故，且在国家企业信用信息公示系统中应未被列入严重违法失信名单</w:t>
      </w:r>
      <w:bookmarkEnd w:id="43"/>
      <w:r>
        <w:rPr>
          <w:rFonts w:hint="eastAsia" w:ascii="Times New Roman" w:eastAsia="宋体"/>
          <w:color w:val="000000" w:themeColor="text1"/>
          <w14:textFill>
            <w14:solidFill>
              <w14:schemeClr w14:val="tx1"/>
            </w14:solidFill>
          </w14:textFill>
        </w:rPr>
        <w:t>。</w:t>
      </w:r>
    </w:p>
    <w:p>
      <w:pPr>
        <w:pStyle w:val="26"/>
        <w:spacing w:beforeLines="0" w:afterLines="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企业近三年应符合国家和地方关于气体、液体和固体污染物排放以及噪声等标准。</w:t>
      </w:r>
    </w:p>
    <w:p>
      <w:pPr>
        <w:pStyle w:val="26"/>
        <w:spacing w:beforeLines="0" w:afterLines="0"/>
        <w:rPr>
          <w:rFonts w:ascii="Times New Roman" w:eastAsia="宋体"/>
          <w:color w:val="000000" w:themeColor="text1"/>
          <w14:textFill>
            <w14:solidFill>
              <w14:schemeClr w14:val="tx1"/>
            </w14:solidFill>
          </w14:textFill>
        </w:rPr>
      </w:pPr>
      <w:bookmarkStart w:id="44" w:name="_Hlk120106589"/>
      <w:bookmarkStart w:id="45" w:name="_Hlk121631826"/>
      <w:bookmarkStart w:id="46" w:name="_Hlk112685279"/>
      <w:bookmarkStart w:id="47" w:name="_Hlk118651391"/>
      <w:bookmarkStart w:id="48" w:name="_Hlk114255571"/>
      <w:bookmarkStart w:id="49" w:name="_Hlk112683673"/>
      <w:r>
        <w:rPr>
          <w:rFonts w:hint="eastAsia" w:ascii="Times New Roman" w:eastAsia="宋体"/>
          <w:color w:val="000000" w:themeColor="text1"/>
          <w14:textFill>
            <w14:solidFill>
              <w14:schemeClr w14:val="tx1"/>
            </w14:solidFill>
          </w14:textFill>
        </w:rPr>
        <w:t>企业应贯彻节能、节地、节水、节材的原</w:t>
      </w:r>
      <w:r>
        <w:rPr>
          <w:rFonts w:hint="eastAsia" w:ascii="Times New Roman" w:eastAsia="宋体"/>
        </w:rPr>
        <w:t>则，</w:t>
      </w:r>
      <w:bookmarkEnd w:id="44"/>
      <w:r>
        <w:rPr>
          <w:rFonts w:hint="eastAsia" w:ascii="Times New Roman" w:eastAsia="宋体"/>
        </w:rPr>
        <w:t>应使用节能降碳技术和设备及绿色低碳资源，提高设施设备利用率和终端用能低碳化电气化水平</w:t>
      </w:r>
      <w:bookmarkEnd w:id="45"/>
      <w:r>
        <w:rPr>
          <w:rFonts w:hint="eastAsia" w:ascii="Times New Roman" w:eastAsia="宋体"/>
        </w:rPr>
        <w:t>。</w:t>
      </w:r>
    </w:p>
    <w:bookmarkEnd w:id="46"/>
    <w:bookmarkEnd w:id="47"/>
    <w:bookmarkEnd w:id="48"/>
    <w:p>
      <w:pPr>
        <w:pStyle w:val="25"/>
        <w:spacing w:before="240" w:after="240"/>
      </w:pPr>
      <w:r>
        <w:rPr>
          <w:rFonts w:hint="eastAsia"/>
        </w:rPr>
        <w:t>物流企业类型和级别划分</w:t>
      </w:r>
    </w:p>
    <w:p>
      <w:pPr>
        <w:pStyle w:val="26"/>
        <w:spacing w:before="120" w:after="120"/>
        <w:rPr>
          <w:rFonts w:hAnsi="黑体"/>
        </w:rPr>
      </w:pPr>
      <w:r>
        <w:rPr>
          <w:rFonts w:hint="eastAsia" w:hAnsi="黑体"/>
        </w:rPr>
        <w:t>物流企业类型</w:t>
      </w:r>
    </w:p>
    <w:p>
      <w:pPr>
        <w:pStyle w:val="27"/>
        <w:numPr>
          <w:ilvl w:val="0"/>
          <w:numId w:val="0"/>
        </w:numPr>
        <w:ind w:firstLine="420" w:firstLineChars="200"/>
        <w:rPr>
          <w:rFonts w:ascii="Times New Roman"/>
        </w:rPr>
      </w:pPr>
      <w:bookmarkStart w:id="50" w:name="_Hlk119280877"/>
      <w:r>
        <w:rPr>
          <w:rFonts w:hint="eastAsia" w:ascii="Times New Roman"/>
        </w:rPr>
        <w:t>物流企业应按照GB/T 19680分为运输型、仓储型、综合型三类。</w:t>
      </w:r>
      <w:bookmarkEnd w:id="50"/>
    </w:p>
    <w:p>
      <w:pPr>
        <w:pStyle w:val="26"/>
        <w:spacing w:before="120" w:after="120"/>
        <w:rPr>
          <w:rFonts w:hAnsi="黑体"/>
        </w:rPr>
      </w:pPr>
      <w:r>
        <w:rPr>
          <w:rFonts w:hint="eastAsia" w:hAnsi="黑体"/>
        </w:rPr>
        <w:t>级别划分</w:t>
      </w:r>
    </w:p>
    <w:p>
      <w:pPr>
        <w:pStyle w:val="27"/>
        <w:numPr>
          <w:ilvl w:val="0"/>
          <w:numId w:val="0"/>
        </w:numPr>
        <w:rPr>
          <w:rFonts w:ascii="Times New Roman"/>
        </w:rPr>
      </w:pPr>
      <w:bookmarkStart w:id="51" w:name="_Hlk119281835"/>
      <w:bookmarkStart w:id="52" w:name="_Hlk119280893"/>
      <w:r>
        <w:rPr>
          <w:rFonts w:hint="eastAsia" w:ascii="黑体" w:hAnsi="黑体" w:eastAsia="黑体"/>
        </w:rPr>
        <w:t>5.2.1</w:t>
      </w:r>
      <w:r>
        <w:rPr>
          <w:rFonts w:hint="eastAsia" w:ascii="Times New Roman"/>
        </w:rPr>
        <w:t xml:space="preserve"> 应根据绿色物流水平，由高到低分为</w:t>
      </w:r>
      <w:r>
        <w:rPr>
          <w:rFonts w:hint="eastAsia" w:hAnsi="宋体" w:cs="Segoe UI Emoji"/>
        </w:rPr>
        <w:t>三星</w:t>
      </w:r>
      <w:r>
        <w:rPr>
          <w:rFonts w:hint="eastAsia" w:ascii="Times New Roman"/>
        </w:rPr>
        <w:t>、</w:t>
      </w:r>
      <w:r>
        <w:rPr>
          <w:rFonts w:hint="eastAsia" w:hAnsi="宋体" w:cs="Segoe UI Emoji"/>
        </w:rPr>
        <w:t>二星</w:t>
      </w:r>
      <w:r>
        <w:rPr>
          <w:rFonts w:hint="eastAsia" w:ascii="Times New Roman"/>
        </w:rPr>
        <w:t>、</w:t>
      </w:r>
      <w:r>
        <w:rPr>
          <w:rFonts w:hint="eastAsia" w:hAnsi="宋体" w:cs="Segoe UI Emoji"/>
        </w:rPr>
        <w:t>一星</w:t>
      </w:r>
      <w:r>
        <w:rPr>
          <w:rFonts w:hint="eastAsia" w:ascii="Times New Roman"/>
        </w:rPr>
        <w:t>三个等级。</w:t>
      </w:r>
    </w:p>
    <w:bookmarkEnd w:id="51"/>
    <w:p>
      <w:pPr>
        <w:pStyle w:val="27"/>
        <w:numPr>
          <w:ilvl w:val="0"/>
          <w:numId w:val="0"/>
        </w:numPr>
        <w:rPr>
          <w:rFonts w:ascii="Times New Roman"/>
        </w:rPr>
      </w:pPr>
      <w:r>
        <w:rPr>
          <w:rFonts w:hint="eastAsia" w:ascii="黑体" w:hAnsi="黑体" w:eastAsia="黑体"/>
        </w:rPr>
        <w:t>5.2.2</w:t>
      </w:r>
      <w:r>
        <w:rPr>
          <w:rFonts w:ascii="黑体" w:hAnsi="黑体" w:eastAsia="黑体"/>
        </w:rPr>
        <w:t xml:space="preserve"> </w:t>
      </w:r>
      <w:r>
        <w:rPr>
          <w:rFonts w:hint="eastAsia" w:ascii="Times New Roman"/>
        </w:rPr>
        <w:t>物流企业绿色物流评估除应符合必备指标外，</w:t>
      </w:r>
      <w:r>
        <w:rPr>
          <w:rFonts w:hint="eastAsia" w:hAnsi="宋体" w:cs="Segoe UI Emoji"/>
        </w:rPr>
        <w:t>一星应符合参考指标的任意三项，二星应符合参考指标的任意四项，三星应符合参考指标的任意五项。</w:t>
      </w:r>
      <w:bookmarkEnd w:id="52"/>
    </w:p>
    <w:bookmarkEnd w:id="49"/>
    <w:p>
      <w:pPr>
        <w:pStyle w:val="25"/>
        <w:spacing w:before="240" w:after="240"/>
      </w:pPr>
      <w:r>
        <w:rPr>
          <w:rFonts w:hint="eastAsia"/>
        </w:rPr>
        <w:t>绿色物流评估指标</w:t>
      </w:r>
    </w:p>
    <w:p>
      <w:pPr>
        <w:pStyle w:val="26"/>
        <w:spacing w:before="120" w:after="120"/>
        <w:rPr>
          <w:rFonts w:hAnsi="黑体"/>
        </w:rPr>
      </w:pPr>
      <w:bookmarkStart w:id="53" w:name="_Toc88827572"/>
      <w:r>
        <w:rPr>
          <w:rFonts w:hint="eastAsia" w:hAnsi="黑体"/>
        </w:rPr>
        <w:t>运输型物流企业</w:t>
      </w:r>
    </w:p>
    <w:p>
      <w:pPr>
        <w:pStyle w:val="11"/>
        <w:ind w:firstLine="420"/>
        <w:rPr>
          <w:rFonts w:ascii="Times New Roman"/>
        </w:rPr>
      </w:pPr>
      <w:r>
        <w:rPr>
          <w:rFonts w:hint="eastAsia" w:ascii="Times New Roman"/>
        </w:rPr>
        <w:t>运输型物流企业绿色物流评估指标应按表1。</w:t>
      </w:r>
    </w:p>
    <w:p>
      <w:pPr>
        <w:pStyle w:val="23"/>
        <w:spacing w:before="120" w:beforeLines="50" w:after="120" w:afterLines="50"/>
        <w:jc w:val="center"/>
        <w:rPr>
          <w:rFonts w:ascii="黑体" w:hAnsi="黑体" w:eastAsia="黑体"/>
          <w:color w:val="000000" w:themeColor="text1"/>
          <w:szCs w:val="18"/>
          <w14:textFill>
            <w14:solidFill>
              <w14:schemeClr w14:val="tx1"/>
            </w14:solidFill>
          </w14:textFill>
        </w:rPr>
      </w:pPr>
      <w:r>
        <w:rPr>
          <w:rFonts w:hint="eastAsia" w:ascii="黑体" w:hAnsi="黑体" w:eastAsia="黑体"/>
          <w:color w:val="000000" w:themeColor="text1"/>
          <w:szCs w:val="18"/>
          <w14:textFill>
            <w14:solidFill>
              <w14:schemeClr w14:val="tx1"/>
            </w14:solidFill>
          </w14:textFill>
        </w:rPr>
        <w:t>表 1 运输型物流企业绿色物流评估指标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1665"/>
        <w:gridCol w:w="709"/>
        <w:gridCol w:w="2410"/>
        <w:gridCol w:w="212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972"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评估指标</w:t>
            </w:r>
          </w:p>
        </w:tc>
        <w:tc>
          <w:tcPr>
            <w:tcW w:w="6372"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一级指标</w:t>
            </w:r>
          </w:p>
        </w:tc>
        <w:tc>
          <w:tcPr>
            <w:tcW w:w="1665"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二级指标</w:t>
            </w:r>
          </w:p>
        </w:tc>
        <w:tc>
          <w:tcPr>
            <w:tcW w:w="709" w:type="dxa"/>
            <w:vAlign w:val="center"/>
          </w:tcPr>
          <w:p>
            <w:pPr>
              <w:pStyle w:val="23"/>
              <w:spacing w:line="230" w:lineRule="exact"/>
              <w:ind w:firstLine="0" w:firstLineChars="0"/>
              <w:jc w:val="center"/>
              <w:rPr>
                <w:rFonts w:hAnsi="宋体" w:cs="Segoe UI Emoji"/>
                <w:sz w:val="18"/>
                <w:szCs w:val="18"/>
              </w:rPr>
            </w:pPr>
            <w:r>
              <w:rPr>
                <w:rFonts w:hint="eastAsia" w:hAnsi="宋体" w:cs="Segoe UI Emoji"/>
                <w:sz w:val="18"/>
                <w:szCs w:val="18"/>
              </w:rPr>
              <w:t>指标类别</w:t>
            </w:r>
          </w:p>
        </w:tc>
        <w:tc>
          <w:tcPr>
            <w:tcW w:w="2410"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hAnsi="宋体" w:cs="Segoe UI Emoji"/>
                <w:sz w:val="18"/>
                <w:szCs w:val="18"/>
              </w:rPr>
              <w:t>三星</w:t>
            </w:r>
          </w:p>
        </w:tc>
        <w:tc>
          <w:tcPr>
            <w:tcW w:w="212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hAnsi="宋体" w:cs="Segoe UI Emoji"/>
                <w:sz w:val="18"/>
                <w:szCs w:val="18"/>
              </w:rPr>
              <w:t>二星</w:t>
            </w:r>
          </w:p>
        </w:tc>
        <w:tc>
          <w:tcPr>
            <w:tcW w:w="183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hAnsi="宋体" w:cs="Segoe UI Emoji"/>
                <w:sz w:val="18"/>
                <w:szCs w:val="18"/>
              </w:rPr>
              <w:t>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规模</w:t>
            </w:r>
          </w:p>
        </w:tc>
        <w:tc>
          <w:tcPr>
            <w:tcW w:w="1665"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1.自有货运汽车/辆（或货物运输装备总载重量/t）</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410"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≥400</w:t>
            </w:r>
          </w:p>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000）</w:t>
            </w:r>
          </w:p>
        </w:tc>
        <w:tc>
          <w:tcPr>
            <w:tcW w:w="212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≥150</w:t>
            </w:r>
          </w:p>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（≥750）</w:t>
            </w:r>
          </w:p>
        </w:tc>
        <w:tc>
          <w:tcPr>
            <w:tcW w:w="183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≥30</w:t>
            </w:r>
          </w:p>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598"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管理</w:t>
            </w:r>
          </w:p>
        </w:tc>
        <w:tc>
          <w:tcPr>
            <w:tcW w:w="1665"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2.管理组织与人员</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4536"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企业内部设有绿色发展管理部门或由多部</w:t>
            </w:r>
            <w:r>
              <w:rPr>
                <w:rFonts w:hint="eastAsia" w:ascii="Times New Roman"/>
                <w:sz w:val="18"/>
                <w:szCs w:val="18"/>
              </w:rPr>
              <w:t>门专职人员组成的绿色发展管理协调工作组</w:t>
            </w:r>
          </w:p>
        </w:tc>
        <w:tc>
          <w:tcPr>
            <w:tcW w:w="183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有明确绿色物流相关人员和职责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665"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3.管理制度</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410"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有绿色发展管理组织工作制度、标准化物流作业与管理制度、节能降碳制度、能源消耗统计制度、节能宣传教育和培训制度</w:t>
            </w:r>
          </w:p>
        </w:tc>
        <w:tc>
          <w:tcPr>
            <w:tcW w:w="212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bookmarkStart w:id="54" w:name="_Hlk121631963"/>
            <w:r>
              <w:rPr>
                <w:rFonts w:hint="eastAsia" w:ascii="Times New Roman"/>
                <w:color w:val="000000" w:themeColor="text1"/>
                <w:sz w:val="18"/>
                <w:szCs w:val="18"/>
                <w14:textFill>
                  <w14:solidFill>
                    <w14:schemeClr w14:val="tx1"/>
                  </w14:solidFill>
                </w14:textFill>
              </w:rPr>
              <w:t>有绿色发展管理组织工作制度</w:t>
            </w:r>
            <w:bookmarkEnd w:id="54"/>
            <w:r>
              <w:rPr>
                <w:rFonts w:hint="eastAsia" w:ascii="Times New Roman"/>
                <w:color w:val="000000" w:themeColor="text1"/>
                <w:sz w:val="18"/>
                <w:szCs w:val="18"/>
                <w14:textFill>
                  <w14:solidFill>
                    <w14:schemeClr w14:val="tx1"/>
                  </w14:solidFill>
                </w14:textFill>
              </w:rPr>
              <w:t>、标准化物流作业与管理制度、能源消耗统计制度、节能宣传教育和培训制度</w:t>
            </w:r>
          </w:p>
        </w:tc>
        <w:tc>
          <w:tcPr>
            <w:tcW w:w="183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有标准化物流作业与管理制度、能源消耗统计制度、节能宣传教育和培训制度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665"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4.管理体系</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2410"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应按照GB/T 19001和GB/T 24001建立质量和环境管理体系，并通过国家或行业相关认证。应按照GB/T 23331建立能源管理体系。</w:t>
            </w:r>
          </w:p>
        </w:tc>
        <w:tc>
          <w:tcPr>
            <w:tcW w:w="212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应按照GB/T 19001和GB/T 24001建立质量和环境管理体系，并通过国家或行业相关认证。</w:t>
            </w:r>
          </w:p>
        </w:tc>
        <w:tc>
          <w:tcPr>
            <w:tcW w:w="183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应按照GB/T 19001建立质量管理体系，并通过国家或行业相关认证。应按照GB/T 24001建立环境管理体系。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665"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5.绿色物流发展规划与实施</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4536"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有绿色物流发展规划并制定相应工作计划和实施方案，有人力、财力、设备及技术资源支持</w:t>
            </w:r>
          </w:p>
        </w:tc>
        <w:tc>
          <w:tcPr>
            <w:tcW w:w="183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有绿色物流发展规划并制定相应工作计划</w:t>
            </w:r>
          </w:p>
        </w:tc>
      </w:tr>
    </w:tbl>
    <w:p>
      <w:pPr>
        <w:pStyle w:val="23"/>
        <w:spacing w:before="120" w:beforeLines="50" w:after="120" w:afterLines="50"/>
        <w:jc w:val="center"/>
        <w:rPr>
          <w:rFonts w:ascii="黑体" w:hAnsi="黑体" w:eastAsia="黑体"/>
          <w:color w:val="000000" w:themeColor="text1"/>
          <w:szCs w:val="18"/>
          <w14:textFill>
            <w14:solidFill>
              <w14:schemeClr w14:val="tx1"/>
            </w14:solidFill>
          </w14:textFill>
        </w:rPr>
      </w:pPr>
      <w:r>
        <w:rPr>
          <w:rFonts w:hint="eastAsia" w:ascii="黑体" w:hAnsi="黑体" w:eastAsia="黑体"/>
          <w:color w:val="000000" w:themeColor="text1"/>
          <w:szCs w:val="18"/>
          <w14:textFill>
            <w14:solidFill>
              <w14:schemeClr w14:val="tx1"/>
            </w14:solidFill>
          </w14:textFill>
        </w:rPr>
        <w:t>表 1（续）</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725"/>
        <w:gridCol w:w="1885"/>
        <w:gridCol w:w="725"/>
        <w:gridCol w:w="1897"/>
        <w:gridCol w:w="1302"/>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197" w:type="pct"/>
            <w:gridSpan w:val="4"/>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评估指标</w:t>
            </w:r>
          </w:p>
        </w:tc>
        <w:tc>
          <w:tcPr>
            <w:tcW w:w="2803"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一级指标</w:t>
            </w:r>
          </w:p>
        </w:tc>
        <w:tc>
          <w:tcPr>
            <w:tcW w:w="1364" w:type="pct"/>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二级指标</w:t>
            </w:r>
          </w:p>
        </w:tc>
        <w:tc>
          <w:tcPr>
            <w:tcW w:w="379" w:type="pct"/>
            <w:vAlign w:val="center"/>
          </w:tcPr>
          <w:p>
            <w:pPr>
              <w:pStyle w:val="23"/>
              <w:spacing w:line="230" w:lineRule="exact"/>
              <w:ind w:firstLine="0" w:firstLineChars="0"/>
              <w:jc w:val="center"/>
              <w:rPr>
                <w:rFonts w:hAnsi="宋体" w:cs="Segoe UI Emoji"/>
                <w:sz w:val="18"/>
                <w:szCs w:val="18"/>
              </w:rPr>
            </w:pPr>
            <w:r>
              <w:rPr>
                <w:rFonts w:hint="eastAsia" w:hAnsi="宋体" w:cs="Segoe UI Emoji"/>
                <w:sz w:val="18"/>
                <w:szCs w:val="18"/>
              </w:rPr>
              <w:t>指标类别</w:t>
            </w:r>
          </w:p>
        </w:tc>
        <w:tc>
          <w:tcPr>
            <w:tcW w:w="991" w:type="pct"/>
            <w:vAlign w:val="center"/>
          </w:tcPr>
          <w:p>
            <w:pPr>
              <w:pStyle w:val="23"/>
              <w:spacing w:line="230" w:lineRule="exact"/>
              <w:ind w:firstLine="0" w:firstLineChars="0"/>
              <w:jc w:val="center"/>
              <w:rPr>
                <w:rFonts w:ascii="Times New Roman"/>
                <w:color w:val="000000" w:themeColor="text1"/>
                <w:sz w:val="18"/>
                <w:szCs w:val="16"/>
                <w14:textFill>
                  <w14:solidFill>
                    <w14:schemeClr w14:val="tx1"/>
                  </w14:solidFill>
                </w14:textFill>
              </w:rPr>
            </w:pPr>
            <w:r>
              <w:rPr>
                <w:rFonts w:hint="eastAsia" w:hAnsi="宋体" w:cs="Segoe UI Emoji"/>
                <w:sz w:val="18"/>
                <w:szCs w:val="16"/>
              </w:rPr>
              <w:t>三星</w:t>
            </w:r>
          </w:p>
        </w:tc>
        <w:tc>
          <w:tcPr>
            <w:tcW w:w="680" w:type="pct"/>
            <w:vAlign w:val="center"/>
          </w:tcPr>
          <w:p>
            <w:pPr>
              <w:pStyle w:val="23"/>
              <w:spacing w:line="230" w:lineRule="exact"/>
              <w:ind w:firstLine="0" w:firstLineChars="0"/>
              <w:jc w:val="center"/>
              <w:rPr>
                <w:rFonts w:ascii="Times New Roman"/>
                <w:color w:val="000000" w:themeColor="text1"/>
                <w:sz w:val="18"/>
                <w:szCs w:val="16"/>
                <w14:textFill>
                  <w14:solidFill>
                    <w14:schemeClr w14:val="tx1"/>
                  </w14:solidFill>
                </w14:textFill>
              </w:rPr>
            </w:pPr>
            <w:r>
              <w:rPr>
                <w:rFonts w:hint="eastAsia" w:hAnsi="宋体" w:cs="Segoe UI Emoji"/>
                <w:sz w:val="18"/>
                <w:szCs w:val="16"/>
              </w:rPr>
              <w:t>二星</w:t>
            </w:r>
          </w:p>
        </w:tc>
        <w:tc>
          <w:tcPr>
            <w:tcW w:w="1132" w:type="pct"/>
            <w:vAlign w:val="center"/>
          </w:tcPr>
          <w:p>
            <w:pPr>
              <w:pStyle w:val="23"/>
              <w:spacing w:line="230" w:lineRule="exact"/>
              <w:ind w:firstLine="0" w:firstLineChars="0"/>
              <w:jc w:val="center"/>
              <w:rPr>
                <w:rFonts w:ascii="Times New Roman"/>
                <w:color w:val="000000" w:themeColor="text1"/>
                <w:sz w:val="18"/>
                <w:szCs w:val="16"/>
                <w14:textFill>
                  <w14:solidFill>
                    <w14:schemeClr w14:val="tx1"/>
                  </w14:solidFill>
                </w14:textFill>
              </w:rPr>
            </w:pPr>
            <w:r>
              <w:rPr>
                <w:rFonts w:hint="eastAsia" w:hAnsi="宋体" w:cs="Segoe UI Emoji"/>
                <w:sz w:val="18"/>
                <w:szCs w:val="16"/>
              </w:rPr>
              <w:t>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设施、设备、包装</w:t>
            </w:r>
          </w:p>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器具</w:t>
            </w:r>
          </w:p>
        </w:tc>
        <w:tc>
          <w:tcPr>
            <w:tcW w:w="379" w:type="pct"/>
            <w:vMerge w:val="restart"/>
            <w:vAlign w:val="center"/>
          </w:tcPr>
          <w:p>
            <w:pPr>
              <w:pStyle w:val="23"/>
              <w:spacing w:line="230" w:lineRule="exact"/>
              <w:ind w:firstLine="0" w:firstLineChars="0"/>
              <w:jc w:val="left"/>
              <w:rPr>
                <w:rFonts w:ascii="Times New Roman"/>
                <w:sz w:val="18"/>
                <w:szCs w:val="18"/>
              </w:rPr>
            </w:pPr>
            <w:r>
              <w:rPr>
                <w:rFonts w:hint="eastAsia" w:ascii="Times New Roman"/>
                <w:sz w:val="18"/>
                <w:szCs w:val="18"/>
              </w:rPr>
              <w:t>设施</w:t>
            </w: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6.主要设施</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803"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采用高效冷源、绿色照明、建筑保温隔热、自然采光或自然通风等节能举措一项及以上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sz w:val="18"/>
                <w:szCs w:val="18"/>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7.辅助设施</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2803"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配套有满足新能源载运工具和清洁环保载运工具充（换）电、岸电、加气或加氢需求的辅助设施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restart"/>
            <w:vAlign w:val="center"/>
          </w:tcPr>
          <w:p>
            <w:pPr>
              <w:pStyle w:val="23"/>
              <w:spacing w:line="230" w:lineRule="exact"/>
              <w:ind w:firstLine="0" w:firstLineChars="0"/>
              <w:jc w:val="left"/>
              <w:rPr>
                <w:rFonts w:ascii="Times New Roman"/>
                <w:sz w:val="18"/>
                <w:szCs w:val="18"/>
              </w:rPr>
            </w:pPr>
            <w:r>
              <w:rPr>
                <w:rFonts w:hint="eastAsia" w:ascii="Times New Roman"/>
                <w:sz w:val="18"/>
                <w:szCs w:val="18"/>
              </w:rPr>
              <w:t>设备</w:t>
            </w:r>
          </w:p>
        </w:tc>
        <w:tc>
          <w:tcPr>
            <w:tcW w:w="985" w:type="pct"/>
            <w:vAlign w:val="center"/>
          </w:tcPr>
          <w:p>
            <w:pPr>
              <w:pStyle w:val="23"/>
              <w:spacing w:line="230" w:lineRule="exact"/>
              <w:ind w:firstLine="0" w:firstLineChars="0"/>
              <w:jc w:val="left"/>
              <w:rPr>
                <w:rFonts w:ascii="Times New Roman"/>
                <w:sz w:val="18"/>
                <w:szCs w:val="18"/>
              </w:rPr>
            </w:pPr>
            <w:r>
              <w:rPr>
                <w:rFonts w:hint="eastAsia" w:ascii="Times New Roman"/>
                <w:sz w:val="18"/>
                <w:szCs w:val="18"/>
              </w:rPr>
              <w:t>8.新能源</w:t>
            </w:r>
            <w:r>
              <w:rPr>
                <w:rFonts w:ascii="Times New Roman"/>
                <w:sz w:val="18"/>
                <w:szCs w:val="18"/>
              </w:rPr>
              <w:t>叉车</w:t>
            </w:r>
            <w:r>
              <w:rPr>
                <w:rFonts w:ascii="Times New Roman"/>
                <w:color w:val="000000" w:themeColor="text1"/>
                <w:sz w:val="18"/>
                <w:szCs w:val="18"/>
                <w:vertAlign w:val="superscript"/>
                <w14:textFill>
                  <w14:solidFill>
                    <w14:schemeClr w14:val="tx1"/>
                  </w14:solidFill>
                </w14:textFill>
              </w:rPr>
              <w:t>a</w:t>
            </w:r>
            <w:r>
              <w:rPr>
                <w:rFonts w:hint="eastAsia" w:ascii="Times New Roman"/>
                <w:sz w:val="18"/>
                <w:szCs w:val="18"/>
              </w:rPr>
              <w:t>比重</w:t>
            </w:r>
          </w:p>
        </w:tc>
        <w:tc>
          <w:tcPr>
            <w:tcW w:w="37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991"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≥90%</w:t>
            </w:r>
          </w:p>
        </w:tc>
        <w:tc>
          <w:tcPr>
            <w:tcW w:w="6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≥70%</w:t>
            </w:r>
          </w:p>
        </w:tc>
        <w:tc>
          <w:tcPr>
            <w:tcW w:w="1132"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sz w:val="18"/>
                <w:szCs w:val="18"/>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9.新能源载运工具（微型和轻型货运汽车）比重</w:t>
            </w:r>
          </w:p>
        </w:tc>
        <w:tc>
          <w:tcPr>
            <w:tcW w:w="37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必备</w:t>
            </w:r>
          </w:p>
        </w:tc>
        <w:tc>
          <w:tcPr>
            <w:tcW w:w="991"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≥30%</w:t>
            </w:r>
          </w:p>
        </w:tc>
        <w:tc>
          <w:tcPr>
            <w:tcW w:w="6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≥20%</w:t>
            </w:r>
          </w:p>
        </w:tc>
        <w:tc>
          <w:tcPr>
            <w:tcW w:w="1132"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≥1</w:t>
            </w:r>
            <w:r>
              <w:rPr>
                <w:rFonts w:ascii="Times New Roman"/>
                <w:sz w:val="18"/>
                <w:szCs w:val="18"/>
              </w:rPr>
              <w:t>0</w:t>
            </w:r>
            <w:r>
              <w:rPr>
                <w:rFonts w:hint="eastAsia"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10.新能源载运工具与</w:t>
            </w:r>
            <w:r>
              <w:rPr>
                <w:rFonts w:hint="eastAsia" w:ascii="Times New Roman"/>
                <w:sz w:val="18"/>
                <w:szCs w:val="18"/>
              </w:rPr>
              <w:t>清洁环保</w:t>
            </w:r>
            <w:r>
              <w:rPr>
                <w:rFonts w:hint="eastAsia" w:ascii="Times New Roman"/>
                <w:color w:val="000000" w:themeColor="text1"/>
                <w:sz w:val="18"/>
                <w:szCs w:val="18"/>
                <w14:textFill>
                  <w14:solidFill>
                    <w14:schemeClr w14:val="tx1"/>
                  </w14:solidFill>
                </w14:textFill>
              </w:rPr>
              <w:t>载运工具</w:t>
            </w:r>
            <w:r>
              <w:rPr>
                <w:rFonts w:hint="eastAsia" w:ascii="Times New Roman"/>
                <w:sz w:val="18"/>
                <w:szCs w:val="18"/>
              </w:rPr>
              <w:t>（中型和重型货运汽车）比重</w:t>
            </w:r>
          </w:p>
        </w:tc>
        <w:tc>
          <w:tcPr>
            <w:tcW w:w="37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必备</w:t>
            </w:r>
          </w:p>
        </w:tc>
        <w:tc>
          <w:tcPr>
            <w:tcW w:w="991"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≥20%</w:t>
            </w:r>
          </w:p>
        </w:tc>
        <w:tc>
          <w:tcPr>
            <w:tcW w:w="6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≥10%</w:t>
            </w:r>
          </w:p>
        </w:tc>
        <w:tc>
          <w:tcPr>
            <w:tcW w:w="1132"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11.新能源载运工具与清洁环保载运工具（货运船舶或货运飞机）</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2803"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使用新能源</w:t>
            </w:r>
            <w:r>
              <w:rPr>
                <w:rFonts w:hint="eastAsia" w:ascii="Times New Roman"/>
                <w:color w:val="000000" w:themeColor="text1"/>
                <w:sz w:val="18"/>
                <w:szCs w:val="18"/>
                <w14:textFill>
                  <w14:solidFill>
                    <w14:schemeClr w14:val="tx1"/>
                  </w14:solidFill>
                </w14:textFill>
              </w:rPr>
              <w:t>载运工具</w:t>
            </w:r>
            <w:r>
              <w:rPr>
                <w:rFonts w:hint="eastAsia" w:ascii="Times New Roman"/>
                <w:sz w:val="18"/>
                <w:szCs w:val="18"/>
              </w:rPr>
              <w:t>与清洁环保</w:t>
            </w:r>
            <w:r>
              <w:rPr>
                <w:rFonts w:hint="eastAsia" w:ascii="Times New Roman"/>
                <w:color w:val="000000" w:themeColor="text1"/>
                <w:sz w:val="18"/>
                <w:szCs w:val="18"/>
                <w14:textFill>
                  <w14:solidFill>
                    <w14:schemeClr w14:val="tx1"/>
                  </w14:solidFill>
                </w14:textFill>
              </w:rPr>
              <w:t>载运工具</w:t>
            </w:r>
            <w:r>
              <w:rPr>
                <w:rFonts w:hint="eastAsia" w:ascii="Times New Roman"/>
                <w:sz w:val="18"/>
                <w:szCs w:val="18"/>
              </w:rPr>
              <w:t>（货运船舶或货运飞机）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12.计量器具</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803" w:type="pct"/>
            <w:gridSpan w:val="3"/>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配备有计量能源和水等资源的计量器具，计量器具应定期检定，并能对计量器具进行维护与管理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包装器具</w:t>
            </w: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13.标准托盘</w:t>
            </w:r>
            <w:r>
              <w:rPr>
                <w:rFonts w:ascii="Times New Roman"/>
                <w:color w:val="000000" w:themeColor="text1"/>
                <w:sz w:val="18"/>
                <w:szCs w:val="18"/>
                <w:vertAlign w:val="superscript"/>
                <w14:textFill>
                  <w14:solidFill>
                    <w14:schemeClr w14:val="tx1"/>
                  </w14:solidFill>
                </w14:textFill>
              </w:rPr>
              <w:t>b</w:t>
            </w:r>
            <w:r>
              <w:rPr>
                <w:rFonts w:hint="eastAsia" w:ascii="Times New Roman"/>
                <w:color w:val="000000" w:themeColor="text1"/>
                <w:sz w:val="18"/>
                <w:szCs w:val="18"/>
                <w14:textFill>
                  <w14:solidFill>
                    <w14:schemeClr w14:val="tx1"/>
                  </w14:solidFill>
                </w14:textFill>
              </w:rPr>
              <w:t>比重</w:t>
            </w:r>
          </w:p>
        </w:tc>
        <w:tc>
          <w:tcPr>
            <w:tcW w:w="37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991"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≥70%</w:t>
            </w:r>
          </w:p>
        </w:tc>
        <w:tc>
          <w:tcPr>
            <w:tcW w:w="6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≥50%</w:t>
            </w:r>
          </w:p>
        </w:tc>
        <w:tc>
          <w:tcPr>
            <w:tcW w:w="1132"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14.标准周转箱</w:t>
            </w:r>
            <w:r>
              <w:rPr>
                <w:rFonts w:ascii="Times New Roman"/>
                <w:color w:val="000000" w:themeColor="text1"/>
                <w:sz w:val="18"/>
                <w:szCs w:val="18"/>
                <w:vertAlign w:val="superscript"/>
                <w14:textFill>
                  <w14:solidFill>
                    <w14:schemeClr w14:val="tx1"/>
                  </w14:solidFill>
                </w14:textFill>
              </w:rPr>
              <w:t>c</w:t>
            </w:r>
            <w:r>
              <w:rPr>
                <w:rFonts w:hint="eastAsia" w:ascii="Times New Roman"/>
                <w:color w:val="000000" w:themeColor="text1"/>
                <w:sz w:val="18"/>
                <w:szCs w:val="18"/>
                <w14:textFill>
                  <w14:solidFill>
                    <w14:schemeClr w14:val="tx1"/>
                  </w14:solidFill>
                </w14:textFill>
              </w:rPr>
              <w:t>比重</w:t>
            </w:r>
          </w:p>
        </w:tc>
        <w:tc>
          <w:tcPr>
            <w:tcW w:w="37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991"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≥60%</w:t>
            </w:r>
          </w:p>
        </w:tc>
        <w:tc>
          <w:tcPr>
            <w:tcW w:w="6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≥50%</w:t>
            </w:r>
          </w:p>
        </w:tc>
        <w:tc>
          <w:tcPr>
            <w:tcW w:w="1132"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15.可降解塑料材料使用</w:t>
            </w:r>
          </w:p>
        </w:tc>
        <w:tc>
          <w:tcPr>
            <w:tcW w:w="37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2803" w:type="pct"/>
            <w:gridSpan w:val="3"/>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物流包装使用可降解塑料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运营</w:t>
            </w:r>
          </w:p>
        </w:tc>
        <w:tc>
          <w:tcPr>
            <w:tcW w:w="379"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数字化运营</w:t>
            </w: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16.数字化和智能化技术</w:t>
            </w:r>
            <w:r>
              <w:rPr>
                <w:rFonts w:ascii="Times New Roman"/>
                <w:color w:val="000000" w:themeColor="text1"/>
                <w:sz w:val="18"/>
                <w:szCs w:val="18"/>
                <w:vertAlign w:val="superscript"/>
                <w14:textFill>
                  <w14:solidFill>
                    <w14:schemeClr w14:val="tx1"/>
                  </w14:solidFill>
                </w14:textFill>
              </w:rPr>
              <w:t>d</w:t>
            </w:r>
            <w:r>
              <w:rPr>
                <w:rFonts w:hint="eastAsia" w:ascii="Times New Roman"/>
                <w:color w:val="000000" w:themeColor="text1"/>
                <w:sz w:val="18"/>
                <w:szCs w:val="18"/>
                <w14:textFill>
                  <w14:solidFill>
                    <w14:schemeClr w14:val="tx1"/>
                  </w14:solidFill>
                </w14:textFill>
              </w:rPr>
              <w:t>应用</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991"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3项及以上</w:t>
            </w:r>
          </w:p>
        </w:tc>
        <w:tc>
          <w:tcPr>
            <w:tcW w:w="6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2项及以上</w:t>
            </w:r>
          </w:p>
        </w:tc>
        <w:tc>
          <w:tcPr>
            <w:tcW w:w="1132"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17.管理信息系统</w:t>
            </w:r>
            <w:r>
              <w:rPr>
                <w:rFonts w:ascii="Times New Roman"/>
                <w:color w:val="000000" w:themeColor="text1"/>
                <w:sz w:val="18"/>
                <w:szCs w:val="18"/>
                <w:vertAlign w:val="superscript"/>
                <w14:textFill>
                  <w14:solidFill>
                    <w14:schemeClr w14:val="tx1"/>
                  </w14:solidFill>
                </w14:textFill>
              </w:rPr>
              <w:t>e</w:t>
            </w:r>
            <w:r>
              <w:rPr>
                <w:rFonts w:hint="eastAsia" w:ascii="Times New Roman"/>
                <w:color w:val="000000" w:themeColor="text1"/>
                <w:sz w:val="18"/>
                <w:szCs w:val="18"/>
                <w14:textFill>
                  <w14:solidFill>
                    <w14:schemeClr w14:val="tx1"/>
                  </w14:solidFill>
                </w14:textFill>
              </w:rPr>
              <w:t>应用</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991"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3项及以上，且应包括T</w:t>
            </w:r>
            <w:r>
              <w:rPr>
                <w:rFonts w:ascii="Times New Roman"/>
                <w:color w:val="000000" w:themeColor="text1"/>
                <w:sz w:val="18"/>
                <w:szCs w:val="18"/>
                <w14:textFill>
                  <w14:solidFill>
                    <w14:schemeClr w14:val="tx1"/>
                  </w14:solidFill>
                </w14:textFill>
              </w:rPr>
              <w:t>MS</w:t>
            </w:r>
          </w:p>
        </w:tc>
        <w:tc>
          <w:tcPr>
            <w:tcW w:w="6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2项及以上，且应包括T</w:t>
            </w:r>
            <w:r>
              <w:rPr>
                <w:rFonts w:ascii="Times New Roman"/>
                <w:color w:val="000000" w:themeColor="text1"/>
                <w:sz w:val="18"/>
                <w:szCs w:val="18"/>
                <w14:textFill>
                  <w14:solidFill>
                    <w14:schemeClr w14:val="tx1"/>
                  </w14:solidFill>
                </w14:textFill>
              </w:rPr>
              <w:t>MS</w:t>
            </w:r>
          </w:p>
        </w:tc>
        <w:tc>
          <w:tcPr>
            <w:tcW w:w="1132"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1项及以上，且应包括T</w:t>
            </w:r>
            <w:r>
              <w:rPr>
                <w:rFonts w:ascii="Times New Roman"/>
                <w:color w:val="000000" w:themeColor="text1"/>
                <w:sz w:val="18"/>
                <w:szCs w:val="18"/>
                <w14:textFill>
                  <w14:solidFill>
                    <w14:schemeClr w14:val="tx1"/>
                  </w14:solidFill>
                </w14:textFill>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18.运营方案优化</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803"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具有优化运输及配送路径或运输调度等能力一项及以上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运营模式与效率</w:t>
            </w: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19.物流业务组织模式</w:t>
            </w:r>
            <w:r>
              <w:rPr>
                <w:rFonts w:ascii="Times New Roman"/>
                <w:color w:val="000000" w:themeColor="text1"/>
                <w:sz w:val="18"/>
                <w:szCs w:val="18"/>
                <w:vertAlign w:val="superscript"/>
                <w14:textFill>
                  <w14:solidFill>
                    <w14:schemeClr w14:val="tx1"/>
                  </w14:solidFill>
                </w14:textFill>
              </w:rPr>
              <w:t>f</w:t>
            </w:r>
            <w:r>
              <w:rPr>
                <w:rFonts w:hint="eastAsia" w:ascii="Times New Roman"/>
                <w:color w:val="000000" w:themeColor="text1"/>
                <w:sz w:val="18"/>
                <w:szCs w:val="18"/>
                <w14:textFill>
                  <w14:solidFill>
                    <w14:schemeClr w14:val="tx1"/>
                  </w14:solidFill>
                </w14:textFill>
              </w:rPr>
              <w:t>应用</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671" w:type="pct"/>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2项及以上</w:t>
            </w:r>
          </w:p>
        </w:tc>
        <w:tc>
          <w:tcPr>
            <w:tcW w:w="1132"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jc w:val="left"/>
              <w:rPr>
                <w:rFonts w:ascii="Times New Roman"/>
                <w:sz w:val="18"/>
                <w:szCs w:val="18"/>
              </w:rPr>
            </w:pPr>
            <w:r>
              <w:rPr>
                <w:rFonts w:hint="eastAsia" w:ascii="Times New Roman"/>
                <w:color w:val="000000" w:themeColor="text1"/>
                <w:sz w:val="18"/>
                <w:szCs w:val="18"/>
                <w14:textFill>
                  <w14:solidFill>
                    <w14:schemeClr w14:val="tx1"/>
                  </w14:solidFill>
                </w14:textFill>
              </w:rPr>
              <w:t>20.铁路和水路货运周转量比重</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991"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w:t>
            </w:r>
          </w:p>
        </w:tc>
        <w:tc>
          <w:tcPr>
            <w:tcW w:w="6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w:t>
            </w:r>
          </w:p>
        </w:tc>
        <w:tc>
          <w:tcPr>
            <w:tcW w:w="1132"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sz w:val="18"/>
                <w:szCs w:val="18"/>
              </w:rPr>
              <w:t>21.实载率</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803"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满足货运汽车≥60%，货运火车＞50%，载货河运船舶≥60%，载货海运船舶≥70%或货运飞机＞50%一项及以上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资源绿色化</w:t>
            </w: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22.使用可再生能源</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2803"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企业运营设施产生的可再生能源全部或部分自用，或通过绿色电力交易或绿证交易等市场化方式使用可再生能源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9"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98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23.物流包装减量化</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803"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采用智能算法或减量化包装替代等举措一项及以上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绿色信息披露与生态共建</w:t>
            </w:r>
          </w:p>
        </w:tc>
        <w:tc>
          <w:tcPr>
            <w:tcW w:w="1364"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24.核算和报告节能降碳信息</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803"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有能源消耗清单和节能降碳举措，统计和核算企业或项目层级的能源消耗总量</w:t>
            </w:r>
            <w:r>
              <w:rPr>
                <w:rFonts w:hint="eastAsia" w:ascii="Times New Roman"/>
                <w:color w:val="000000" w:themeColor="text1"/>
                <w:sz w:val="18"/>
                <w:szCs w:val="18"/>
                <w:vertAlign w:val="superscript"/>
                <w14:textFill>
                  <w14:solidFill>
                    <w14:schemeClr w14:val="tx1"/>
                  </w14:solidFill>
                </w14:textFill>
              </w:rPr>
              <w:t>g</w:t>
            </w:r>
            <w:r>
              <w:rPr>
                <w:rFonts w:hint="eastAsia" w:ascii="Times New Roman"/>
                <w:color w:val="000000" w:themeColor="text1"/>
                <w:sz w:val="18"/>
                <w:szCs w:val="18"/>
                <w14:textFill>
                  <w14:solidFill>
                    <w14:schemeClr w14:val="tx1"/>
                  </w14:solidFill>
                </w14:textFill>
              </w:rPr>
              <w:t>和强度</w:t>
            </w:r>
            <w:r>
              <w:rPr>
                <w:rFonts w:ascii="Times New Roman"/>
                <w:color w:val="000000" w:themeColor="text1"/>
                <w:sz w:val="18"/>
                <w:szCs w:val="18"/>
                <w:vertAlign w:val="superscript"/>
                <w14:textFill>
                  <w14:solidFill>
                    <w14:schemeClr w14:val="tx1"/>
                  </w14:solidFill>
                </w14:textFill>
              </w:rPr>
              <w:t>h</w:t>
            </w:r>
            <w:r>
              <w:rPr>
                <w:rFonts w:hint="eastAsia" w:ascii="Times New Roman"/>
                <w:color w:val="000000" w:themeColor="text1"/>
                <w:sz w:val="18"/>
                <w:szCs w:val="18"/>
                <w14:textFill>
                  <w14:solidFill>
                    <w14:schemeClr w14:val="tx1"/>
                  </w14:solidFill>
                </w14:textFill>
              </w:rPr>
              <w:t>，及二氧化碳排放总量</w:t>
            </w:r>
            <w:r>
              <w:rPr>
                <w:rFonts w:ascii="Times New Roman"/>
                <w:color w:val="000000" w:themeColor="text1"/>
                <w:sz w:val="18"/>
                <w:szCs w:val="18"/>
                <w:vertAlign w:val="superscript"/>
                <w14:textFill>
                  <w14:solidFill>
                    <w14:schemeClr w14:val="tx1"/>
                  </w14:solidFill>
                </w14:textFill>
              </w:rPr>
              <w:t>i</w:t>
            </w:r>
            <w:r>
              <w:rPr>
                <w:rFonts w:hint="eastAsia" w:ascii="Times New Roman"/>
                <w:color w:val="000000" w:themeColor="text1"/>
                <w:sz w:val="18"/>
                <w:szCs w:val="18"/>
                <w14:textFill>
                  <w14:solidFill>
                    <w14:schemeClr w14:val="tx1"/>
                  </w14:solidFill>
                </w14:textFill>
              </w:rPr>
              <w:t>或强度</w:t>
            </w:r>
            <w:r>
              <w:rPr>
                <w:rFonts w:ascii="Times New Roman"/>
                <w:color w:val="000000" w:themeColor="text1"/>
                <w:sz w:val="18"/>
                <w:szCs w:val="18"/>
                <w:vertAlign w:val="superscript"/>
                <w14:textFill>
                  <w14:solidFill>
                    <w14:schemeClr w14:val="tx1"/>
                  </w14:solidFill>
                </w14:textFill>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364"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25.社会责任履行情况</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991"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定期发布含绿色物流的报告，且报告公开可获得</w:t>
            </w:r>
          </w:p>
        </w:tc>
        <w:tc>
          <w:tcPr>
            <w:tcW w:w="1812" w:type="pct"/>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公开宣传自身绿色物流实践行动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364"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26.绿色生态共建</w:t>
            </w:r>
          </w:p>
        </w:tc>
        <w:tc>
          <w:tcPr>
            <w:tcW w:w="37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671" w:type="pct"/>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与合作商建立绿色物流沟通协作机制，了解合作商绿色物流服务需求和举措，有支持合作商开展绿色物流的举措</w:t>
            </w:r>
          </w:p>
        </w:tc>
        <w:tc>
          <w:tcPr>
            <w:tcW w:w="1132"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bookmarkStart w:id="55" w:name="_Hlk124490875"/>
            <w:r>
              <w:rPr>
                <w:rFonts w:hint="eastAsia" w:ascii="Times New Roman"/>
                <w:color w:val="000000" w:themeColor="text1"/>
                <w:sz w:val="18"/>
                <w:szCs w:val="18"/>
                <w14:textFill>
                  <w14:solidFill>
                    <w14:schemeClr w14:val="tx1"/>
                  </w14:solidFill>
                </w14:textFill>
              </w:rPr>
              <w:t>了解合作商绿色物流服务需求和举措，有支持合作商开展绿色物流的举措</w:t>
            </w:r>
            <w:bookmarkEnd w:id="55"/>
          </w:p>
        </w:tc>
      </w:tr>
    </w:tbl>
    <w:p>
      <w:pPr>
        <w:widowControl/>
        <w:jc w:val="left"/>
        <w:rPr>
          <w:rFonts w:ascii="黑体" w:hAnsi="黑体" w:eastAsia="黑体"/>
          <w:color w:val="000000" w:themeColor="text1"/>
          <w:kern w:val="0"/>
          <w:szCs w:val="18"/>
          <w14:textFill>
            <w14:solidFill>
              <w14:schemeClr w14:val="tx1"/>
            </w14:solidFill>
          </w14:textFill>
        </w:rPr>
      </w:pPr>
      <w:r>
        <w:rPr>
          <w:rFonts w:ascii="黑体" w:hAnsi="黑体" w:eastAsia="黑体"/>
          <w:color w:val="000000" w:themeColor="text1"/>
          <w:szCs w:val="18"/>
          <w14:textFill>
            <w14:solidFill>
              <w14:schemeClr w14:val="tx1"/>
            </w14:solidFill>
          </w14:textFill>
        </w:rPr>
        <w:br w:type="page"/>
      </w:r>
    </w:p>
    <w:p>
      <w:pPr>
        <w:pStyle w:val="23"/>
        <w:spacing w:before="120" w:beforeLines="50" w:after="120" w:afterLines="50"/>
        <w:jc w:val="center"/>
        <w:rPr>
          <w:rFonts w:ascii="黑体" w:hAnsi="黑体" w:eastAsia="黑体"/>
          <w:color w:val="000000" w:themeColor="text1"/>
          <w:szCs w:val="18"/>
          <w14:textFill>
            <w14:solidFill>
              <w14:schemeClr w14:val="tx1"/>
            </w14:solidFill>
          </w14:textFill>
        </w:rPr>
      </w:pPr>
      <w:r>
        <w:rPr>
          <w:rFonts w:hint="eastAsia" w:ascii="黑体" w:hAnsi="黑体" w:eastAsia="黑体"/>
          <w:color w:val="000000" w:themeColor="text1"/>
          <w:szCs w:val="18"/>
          <w14:textFill>
            <w14:solidFill>
              <w14:schemeClr w14:val="tx1"/>
            </w14:solidFill>
          </w14:textFill>
        </w:rPr>
        <w:t>表 1（续）</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9344" w:type="dxa"/>
          </w:tcPr>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vertAlign w:val="superscript"/>
                <w14:textFill>
                  <w14:solidFill>
                    <w14:schemeClr w14:val="tx1"/>
                  </w14:solidFill>
                </w14:textFill>
              </w:rPr>
              <w:t>a</w:t>
            </w:r>
            <w:r>
              <w:rPr>
                <w:rFonts w:ascii="Times New Roman"/>
                <w:color w:val="000000" w:themeColor="text1"/>
                <w:sz w:val="18"/>
                <w:szCs w:val="18"/>
                <w:vertAlign w:val="superscript"/>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新能源叉车是指采用非常规能源，以电力、氢能源作为动力来源的叉车。</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b </w:t>
            </w:r>
            <w:r>
              <w:rPr>
                <w:rFonts w:hint="eastAsia" w:ascii="Times New Roman"/>
                <w:color w:val="000000" w:themeColor="text1"/>
                <w:sz w:val="18"/>
                <w:szCs w:val="18"/>
                <w14:textFill>
                  <w14:solidFill>
                    <w14:schemeClr w14:val="tx1"/>
                  </w14:solidFill>
                </w14:textFill>
              </w:rPr>
              <w:t>标准托盘是指平面尺寸满足</w:t>
            </w:r>
            <w:r>
              <w:rPr>
                <w:rFonts w:ascii="Times New Roman"/>
                <w:color w:val="000000" w:themeColor="text1"/>
                <w:sz w:val="18"/>
                <w:szCs w:val="18"/>
                <w14:textFill>
                  <w14:solidFill>
                    <w14:schemeClr w14:val="tx1"/>
                  </w14:solidFill>
                </w14:textFill>
              </w:rPr>
              <w:t>GB/T 2934</w:t>
            </w:r>
            <w:r>
              <w:rPr>
                <w:rFonts w:hint="eastAsia" w:ascii="Times New Roman"/>
                <w:color w:val="000000" w:themeColor="text1"/>
                <w:sz w:val="18"/>
                <w:szCs w:val="18"/>
                <w14:textFill>
                  <w14:solidFill>
                    <w14:schemeClr w14:val="tx1"/>
                  </w14:solidFill>
                </w14:textFill>
              </w:rPr>
              <w:t>要求的托盘。</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c </w:t>
            </w:r>
            <w:r>
              <w:rPr>
                <w:rFonts w:hint="eastAsia" w:ascii="Times New Roman"/>
                <w:color w:val="000000" w:themeColor="text1"/>
                <w:sz w:val="18"/>
                <w:szCs w:val="18"/>
                <w14:textFill>
                  <w14:solidFill>
                    <w14:schemeClr w14:val="tx1"/>
                  </w14:solidFill>
                </w14:textFill>
              </w:rPr>
              <w:t>标准周转箱是指运输包装模数满足GB/T 4892要求的周转箱。</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黑体" w:hAnsi="黑体" w:eastAsia="黑体"/>
                <w:color w:val="000000" w:themeColor="text1"/>
                <w:sz w:val="18"/>
                <w:szCs w:val="18"/>
                <w:vertAlign w:val="superscript"/>
                <w14:textFill>
                  <w14:solidFill>
                    <w14:schemeClr w14:val="tx1"/>
                  </w14:solidFill>
                </w14:textFill>
              </w:rPr>
              <w:t>d</w:t>
            </w:r>
            <w:r>
              <w:rPr>
                <w:rFonts w:hint="eastAsia" w:ascii="黑体" w:hAnsi="黑体" w:eastAsia="黑体"/>
                <w:color w:val="000000" w:themeColor="text1"/>
                <w:sz w:val="18"/>
                <w:szCs w:val="18"/>
                <w:vertAlign w:val="superscript"/>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数字化和智能化技术包括自动识别标识技术(含条码识别技术、生物识别技术、图像识别技术或射频识别技术RFID等</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、智能照明控制技术(含分时、分区自动感应，按需智能开关和调节技术等</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、人工智能技术(含大数据、计算机视觉、语音识别、自然语言处理或机器学习等</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、环境感知技术(重量、体积、温度、油量或电量等智能监测技术）、智能缴费技术(ETC</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等。</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黑体" w:hAnsi="黑体" w:eastAsia="黑体"/>
                <w:color w:val="000000" w:themeColor="text1"/>
                <w:sz w:val="18"/>
                <w:szCs w:val="18"/>
                <w:vertAlign w:val="superscript"/>
                <w14:textFill>
                  <w14:solidFill>
                    <w14:schemeClr w14:val="tx1"/>
                  </w14:solidFill>
                </w14:textFill>
              </w:rPr>
              <w:t xml:space="preserve">e </w:t>
            </w:r>
            <w:r>
              <w:rPr>
                <w:rFonts w:hint="eastAsia" w:ascii="Times New Roman"/>
                <w:color w:val="000000" w:themeColor="text1"/>
                <w:sz w:val="18"/>
                <w:szCs w:val="18"/>
                <w14:textFill>
                  <w14:solidFill>
                    <w14:schemeClr w14:val="tx1"/>
                  </w14:solidFill>
                </w14:textFill>
              </w:rPr>
              <w:t>管理信息系统包括企业管理软件(ERP</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、能源管理系统(EMS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、订单管理系统(OMS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、仓库管理系统(WMS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、运输管理系统(TMS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、电子订货系统(EOS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、自动存取系统(AS/RS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、办公自动化系统(OAS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等。</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f</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物流业务组织模式包括逆向物流、多式联运、甩挂运输、统仓统配、云仓、共同配送、集中配送、全天候配送等。</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g</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能源消耗总量是指企业或项目在一定时期内消耗的各种能源的总和，单位为吨标准煤（tce），各种能源折标准煤系数见附录B</w:t>
            </w:r>
            <w:r>
              <w:rPr>
                <w:rFonts w:ascii="Times New Roman"/>
                <w:color w:val="000000" w:themeColor="text1"/>
                <w:sz w:val="18"/>
                <w:szCs w:val="18"/>
                <w14:textFill>
                  <w14:solidFill>
                    <w14:schemeClr w14:val="tx1"/>
                  </w14:solidFill>
                </w14:textFill>
              </w:rPr>
              <w:t>.1</w:t>
            </w:r>
            <w:r>
              <w:rPr>
                <w:rFonts w:hint="eastAsia" w:ascii="Times New Roman"/>
                <w:color w:val="000000" w:themeColor="text1"/>
                <w:sz w:val="18"/>
                <w:szCs w:val="18"/>
                <w14:textFill>
                  <w14:solidFill>
                    <w14:schemeClr w14:val="tx1"/>
                  </w14:solidFill>
                </w14:textFill>
              </w:rPr>
              <w:t>。</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h </w:t>
            </w:r>
            <w:r>
              <w:rPr>
                <w:rFonts w:hint="eastAsia" w:ascii="Times New Roman"/>
                <w:color w:val="000000" w:themeColor="text1"/>
                <w:sz w:val="18"/>
                <w:szCs w:val="18"/>
                <w14:textFill>
                  <w14:solidFill>
                    <w14:schemeClr w14:val="tx1"/>
                  </w14:solidFill>
                </w14:textFill>
              </w:rPr>
              <w:t>能源消耗强度是指企业或项目在一定时期内单位营业收入的能源消耗量，单位为吨标准煤/万元（tce/万元）；或是单位业务量的能源消耗量，单位为吨标准煤/百万吨公里（tce/</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t·k</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）或吨标准煤/万吨吞吐量（tce/10</w:t>
            </w:r>
            <w:r>
              <w:rPr>
                <w:rFonts w:ascii="Times New Roman"/>
                <w:color w:val="000000" w:themeColor="text1"/>
                <w:sz w:val="18"/>
                <w:szCs w:val="18"/>
                <w14:textFill>
                  <w14:solidFill>
                    <w14:schemeClr w14:val="tx1"/>
                  </w14:solidFill>
                </w14:textFill>
              </w:rPr>
              <w:t>kt</w:t>
            </w:r>
            <w:r>
              <w:rPr>
                <w:rFonts w:hint="eastAsia" w:ascii="Times New Roman"/>
                <w:color w:val="000000" w:themeColor="text1"/>
                <w:sz w:val="18"/>
                <w:szCs w:val="18"/>
                <w14:textFill>
                  <w14:solidFill>
                    <w14:schemeClr w14:val="tx1"/>
                  </w14:solidFill>
                </w14:textFill>
              </w:rPr>
              <w:t>）。</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i</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二氧化碳排放总量是指企业或项目在一定时期内直接产生和与能源相关间接产生的二氧化碳排放量总量，单位为吨（t），各种能源碳排放因子见附录B</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2。</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j</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二氧化碳排放强度是指企业或项目在一定时期内单位营业收入的二氧化碳排放量，单位为吨/万元（t/万元）；或是单位业务量的二氧化碳排放量，单位为吨/百万吨公里（t/</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t·k</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）或吨/万吨吞吐量（t/10</w:t>
            </w:r>
            <w:r>
              <w:rPr>
                <w:rFonts w:ascii="Times New Roman"/>
                <w:color w:val="000000" w:themeColor="text1"/>
                <w:sz w:val="18"/>
                <w:szCs w:val="18"/>
                <w14:textFill>
                  <w14:solidFill>
                    <w14:schemeClr w14:val="tx1"/>
                  </w14:solidFill>
                </w14:textFill>
              </w:rPr>
              <w:t>kt</w:t>
            </w:r>
            <w:r>
              <w:rPr>
                <w:rFonts w:hint="eastAsia" w:ascii="Times New Roman"/>
                <w:color w:val="000000" w:themeColor="text1"/>
                <w:sz w:val="18"/>
                <w:szCs w:val="18"/>
                <w14:textFill>
                  <w14:solidFill>
                    <w14:schemeClr w14:val="tx1"/>
                  </w14:solidFill>
                </w14:textFill>
              </w:rPr>
              <w:t>）。</w:t>
            </w:r>
          </w:p>
        </w:tc>
      </w:tr>
    </w:tbl>
    <w:p>
      <w:pPr>
        <w:pStyle w:val="26"/>
        <w:spacing w:before="120" w:after="120"/>
        <w:rPr>
          <w:rFonts w:hAnsi="黑体"/>
        </w:rPr>
      </w:pPr>
      <w:r>
        <w:rPr>
          <w:rFonts w:hint="eastAsia" w:hAnsi="黑体"/>
        </w:rPr>
        <w:t>仓储型物流企业</w:t>
      </w:r>
    </w:p>
    <w:p>
      <w:pPr>
        <w:pStyle w:val="11"/>
        <w:ind w:firstLine="420"/>
        <w:rPr>
          <w:rFonts w:ascii="Times New Roman"/>
        </w:rPr>
      </w:pPr>
      <w:r>
        <w:rPr>
          <w:rFonts w:hint="eastAsia" w:ascii="Times New Roman"/>
        </w:rPr>
        <w:t>仓储型物流企业</w:t>
      </w:r>
      <w:r>
        <w:rPr>
          <w:rFonts w:hint="eastAsia" w:hAnsi="黑体"/>
        </w:rPr>
        <w:t>绿色物流</w:t>
      </w:r>
      <w:r>
        <w:rPr>
          <w:rFonts w:hint="eastAsia" w:ascii="Times New Roman"/>
        </w:rPr>
        <w:t>评估指标应按表2。</w:t>
      </w:r>
    </w:p>
    <w:p>
      <w:pPr>
        <w:pStyle w:val="23"/>
        <w:spacing w:before="120" w:beforeLines="50" w:after="120" w:afterLines="50"/>
        <w:jc w:val="center"/>
        <w:rPr>
          <w:rFonts w:ascii="黑体" w:hAnsi="黑体" w:eastAsia="黑体"/>
          <w:color w:val="000000" w:themeColor="text1"/>
          <w:szCs w:val="18"/>
          <w14:textFill>
            <w14:solidFill>
              <w14:schemeClr w14:val="tx1"/>
            </w14:solidFill>
          </w14:textFill>
        </w:rPr>
      </w:pPr>
      <w:r>
        <w:rPr>
          <w:rFonts w:hint="eastAsia" w:ascii="黑体" w:hAnsi="黑体" w:eastAsia="黑体"/>
          <w:color w:val="000000" w:themeColor="text1"/>
          <w:szCs w:val="18"/>
          <w14:textFill>
            <w14:solidFill>
              <w14:schemeClr w14:val="tx1"/>
            </w14:solidFill>
          </w14:textFill>
        </w:rPr>
        <w:t>表 2 仓储型物流企业绿色物流评估指标</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723"/>
        <w:gridCol w:w="1596"/>
        <w:gridCol w:w="727"/>
        <w:gridCol w:w="2176"/>
        <w:gridCol w:w="1744"/>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046" w:type="pct"/>
            <w:gridSpan w:val="4"/>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评估指标</w:t>
            </w:r>
          </w:p>
        </w:tc>
        <w:tc>
          <w:tcPr>
            <w:tcW w:w="2954"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一级指标</w:t>
            </w:r>
          </w:p>
        </w:tc>
        <w:tc>
          <w:tcPr>
            <w:tcW w:w="1212" w:type="pct"/>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二级指标</w:t>
            </w:r>
          </w:p>
        </w:tc>
        <w:tc>
          <w:tcPr>
            <w:tcW w:w="380" w:type="pct"/>
            <w:vAlign w:val="center"/>
          </w:tcPr>
          <w:p>
            <w:pPr>
              <w:pStyle w:val="23"/>
              <w:spacing w:line="230" w:lineRule="exact"/>
              <w:ind w:firstLine="0" w:firstLineChars="0"/>
              <w:jc w:val="center"/>
              <w:rPr>
                <w:rFonts w:hAnsi="宋体" w:cs="Segoe UI Emoji"/>
                <w:sz w:val="18"/>
                <w:szCs w:val="18"/>
              </w:rPr>
            </w:pPr>
            <w:r>
              <w:rPr>
                <w:rFonts w:hint="eastAsia" w:hAnsi="宋体" w:cs="Segoe UI Emoji"/>
                <w:sz w:val="18"/>
                <w:szCs w:val="18"/>
              </w:rPr>
              <w:t>指标类别</w:t>
            </w:r>
          </w:p>
        </w:tc>
        <w:tc>
          <w:tcPr>
            <w:tcW w:w="1137" w:type="pct"/>
            <w:vAlign w:val="center"/>
          </w:tcPr>
          <w:p>
            <w:pPr>
              <w:pStyle w:val="23"/>
              <w:spacing w:line="230" w:lineRule="exact"/>
              <w:ind w:firstLine="0" w:firstLineChars="0"/>
              <w:jc w:val="center"/>
              <w:rPr>
                <w:rFonts w:ascii="Times New Roman"/>
                <w:color w:val="000000" w:themeColor="text1"/>
                <w:sz w:val="18"/>
                <w:szCs w:val="16"/>
                <w14:textFill>
                  <w14:solidFill>
                    <w14:schemeClr w14:val="tx1"/>
                  </w14:solidFill>
                </w14:textFill>
              </w:rPr>
            </w:pPr>
            <w:r>
              <w:rPr>
                <w:rFonts w:hint="eastAsia" w:hAnsi="宋体" w:cs="Segoe UI Emoji"/>
                <w:sz w:val="18"/>
                <w:szCs w:val="16"/>
              </w:rPr>
              <w:t>三星</w:t>
            </w:r>
          </w:p>
        </w:tc>
        <w:tc>
          <w:tcPr>
            <w:tcW w:w="911" w:type="pct"/>
            <w:vAlign w:val="center"/>
          </w:tcPr>
          <w:p>
            <w:pPr>
              <w:pStyle w:val="23"/>
              <w:spacing w:line="230" w:lineRule="exact"/>
              <w:ind w:firstLine="0" w:firstLineChars="0"/>
              <w:jc w:val="center"/>
              <w:rPr>
                <w:rFonts w:ascii="Times New Roman"/>
                <w:color w:val="000000" w:themeColor="text1"/>
                <w:sz w:val="18"/>
                <w:szCs w:val="16"/>
                <w14:textFill>
                  <w14:solidFill>
                    <w14:schemeClr w14:val="tx1"/>
                  </w14:solidFill>
                </w14:textFill>
              </w:rPr>
            </w:pPr>
            <w:r>
              <w:rPr>
                <w:rFonts w:hint="eastAsia" w:hAnsi="宋体" w:cs="Segoe UI Emoji"/>
                <w:sz w:val="18"/>
                <w:szCs w:val="16"/>
              </w:rPr>
              <w:t>二星</w:t>
            </w:r>
          </w:p>
        </w:tc>
        <w:tc>
          <w:tcPr>
            <w:tcW w:w="906" w:type="pct"/>
            <w:vAlign w:val="center"/>
          </w:tcPr>
          <w:p>
            <w:pPr>
              <w:pStyle w:val="23"/>
              <w:spacing w:line="230" w:lineRule="exact"/>
              <w:ind w:firstLine="0" w:firstLineChars="0"/>
              <w:jc w:val="center"/>
              <w:rPr>
                <w:rFonts w:ascii="Times New Roman"/>
                <w:color w:val="000000" w:themeColor="text1"/>
                <w:sz w:val="18"/>
                <w:szCs w:val="16"/>
                <w14:textFill>
                  <w14:solidFill>
                    <w14:schemeClr w14:val="tx1"/>
                  </w14:solidFill>
                </w14:textFill>
              </w:rPr>
            </w:pPr>
            <w:r>
              <w:rPr>
                <w:rFonts w:hint="eastAsia" w:hAnsi="宋体" w:cs="Segoe UI Emoji"/>
                <w:sz w:val="18"/>
                <w:szCs w:val="16"/>
              </w:rPr>
              <w:t>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restar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规模</w:t>
            </w:r>
          </w:p>
        </w:tc>
        <w:tc>
          <w:tcPr>
            <w:tcW w:w="1212"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1.自有仓储面积/m</w:t>
            </w:r>
            <w:r>
              <w:rPr>
                <w:rFonts w:ascii="Times New Roman"/>
                <w:color w:val="000000" w:themeColor="text1"/>
                <w:sz w:val="18"/>
                <w:szCs w:val="18"/>
                <w:vertAlign w:val="superscript"/>
                <w14:textFill>
                  <w14:solidFill>
                    <w14:schemeClr w14:val="tx1"/>
                  </w14:solidFill>
                </w14:textFill>
              </w:rPr>
              <w:t>2</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137"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≥80 000</w:t>
            </w:r>
          </w:p>
        </w:tc>
        <w:tc>
          <w:tcPr>
            <w:tcW w:w="911"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≥30 000</w:t>
            </w:r>
          </w:p>
        </w:tc>
        <w:tc>
          <w:tcPr>
            <w:tcW w:w="906"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≥4 000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p>
        </w:tc>
        <w:tc>
          <w:tcPr>
            <w:tcW w:w="1212"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2.自有和租用货运汽车/辆（或货物运输装备总载重量/t）</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137"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≥200</w:t>
            </w:r>
          </w:p>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（≥1 000）</w:t>
            </w:r>
          </w:p>
        </w:tc>
        <w:tc>
          <w:tcPr>
            <w:tcW w:w="911"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≥100</w:t>
            </w:r>
          </w:p>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（≥500）</w:t>
            </w:r>
          </w:p>
        </w:tc>
        <w:tc>
          <w:tcPr>
            <w:tcW w:w="906"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≥30</w:t>
            </w:r>
          </w:p>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restar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管理</w:t>
            </w:r>
          </w:p>
        </w:tc>
        <w:tc>
          <w:tcPr>
            <w:tcW w:w="1212"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3.管理组织与人员</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048" w:type="pct"/>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企业内部设有绿色发展管理部门或由多部门专职人员组成的绿色发展管理协调</w:t>
            </w:r>
            <w:r>
              <w:rPr>
                <w:rFonts w:hint="eastAsia" w:ascii="Times New Roman"/>
                <w:sz w:val="18"/>
                <w:szCs w:val="18"/>
              </w:rPr>
              <w:t>工作组</w:t>
            </w:r>
          </w:p>
        </w:tc>
        <w:tc>
          <w:tcPr>
            <w:tcW w:w="906"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有明确绿色物流相关人员和职责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2"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4.管理制度</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137"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有绿色发展管理组织工作制度、标准化物流作业与管理制度、节能降碳制度、能源消耗统计制度、节能宣传教育和培训制度</w:t>
            </w:r>
          </w:p>
        </w:tc>
        <w:tc>
          <w:tcPr>
            <w:tcW w:w="911"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有绿色发展管理组织工作制度、标准化物流作业与管理制度、能源消耗统计制度、节能宣传教育和培训制度</w:t>
            </w:r>
          </w:p>
        </w:tc>
        <w:tc>
          <w:tcPr>
            <w:tcW w:w="906"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有标准化物流作业与管理制度、能源消耗统计制度、节能宣传教育和培训制度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2"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5.管理体系</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1137"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应按照GB/T 19001和GB/T 24001建立质量和环境管理体系，并通过国家或行业相关认证。应按照GB/T 23331建立能源管理体系。</w:t>
            </w:r>
          </w:p>
        </w:tc>
        <w:tc>
          <w:tcPr>
            <w:tcW w:w="911"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应按照GB/T 19001和GB/T 24001建立质量和环境管理体系，并通过国家或行业相关认证。</w:t>
            </w:r>
          </w:p>
        </w:tc>
        <w:tc>
          <w:tcPr>
            <w:tcW w:w="906"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应按照GB/T 19001建立质量管理体系，并通过国家或行业相关认证。应按照GB/T 24001建立环境管理体系。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2"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6.绿色物流发展规划与实施</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2048" w:type="pct"/>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有绿色物流发展规划并制定相应工作计划和实施方案，有人力、财力、设备及技术资源支持</w:t>
            </w:r>
          </w:p>
        </w:tc>
        <w:tc>
          <w:tcPr>
            <w:tcW w:w="906"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有绿色物流发展规划并制定相应工作计划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设施、设备、包装</w:t>
            </w:r>
          </w:p>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器具</w:t>
            </w:r>
          </w:p>
        </w:tc>
        <w:tc>
          <w:tcPr>
            <w:tcW w:w="378"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设施</w:t>
            </w:r>
          </w:p>
        </w:tc>
        <w:tc>
          <w:tcPr>
            <w:tcW w:w="834"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7.交通连接方式</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954"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应具备两种以上（含两种）运输方式或毗邻两条以上（含两条）高速公路、国道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8"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834"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8.仓库</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048" w:type="pct"/>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有立体库</w:t>
            </w:r>
            <w:r>
              <w:rPr>
                <w:rFonts w:hint="eastAsia" w:ascii="Times New Roman"/>
                <w:color w:val="000000" w:themeColor="text1"/>
                <w:sz w:val="18"/>
                <w:szCs w:val="18"/>
                <w:vertAlign w:val="superscript"/>
                <w14:textFill>
                  <w14:solidFill>
                    <w14:schemeClr w14:val="tx1"/>
                  </w14:solidFill>
                </w14:textFill>
              </w:rPr>
              <w:t>a</w:t>
            </w:r>
          </w:p>
        </w:tc>
        <w:tc>
          <w:tcPr>
            <w:tcW w:w="906"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8"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834"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9.主要设施</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954"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采用高效冷源、绿色照明、建筑保温隔热、自然采光或自然通风等节能举措一项及以上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5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78"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834"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10.辅助设施</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2954"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配套有满足新能源载运工具和清洁环保载运工具充（换）电、岸电、加气或加氢需求的辅助设施</w:t>
            </w:r>
          </w:p>
        </w:tc>
      </w:tr>
    </w:tbl>
    <w:p>
      <w:pPr>
        <w:pStyle w:val="23"/>
        <w:spacing w:before="120" w:beforeLines="50" w:after="120" w:afterLines="50"/>
        <w:jc w:val="center"/>
        <w:rPr>
          <w:rFonts w:ascii="黑体" w:hAnsi="黑体" w:eastAsia="黑体"/>
          <w:color w:val="000000" w:themeColor="text1"/>
          <w:szCs w:val="18"/>
          <w14:textFill>
            <w14:solidFill>
              <w14:schemeClr w14:val="tx1"/>
            </w14:solidFill>
          </w14:textFill>
        </w:rPr>
      </w:pPr>
      <w:r>
        <w:rPr>
          <w:rFonts w:hint="eastAsia" w:ascii="黑体" w:hAnsi="黑体" w:eastAsia="黑体"/>
          <w:color w:val="000000" w:themeColor="text1"/>
          <w:szCs w:val="18"/>
          <w14:textFill>
            <w14:solidFill>
              <w14:schemeClr w14:val="tx1"/>
            </w14:solidFill>
          </w14:textFill>
        </w:rPr>
        <w:t>表 2 （续）</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597"/>
        <w:gridCol w:w="2326"/>
        <w:gridCol w:w="727"/>
        <w:gridCol w:w="1594"/>
        <w:gridCol w:w="1453"/>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351" w:type="pct"/>
            <w:gridSpan w:val="4"/>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评估指标</w:t>
            </w:r>
          </w:p>
        </w:tc>
        <w:tc>
          <w:tcPr>
            <w:tcW w:w="2649" w:type="pct"/>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一级指标</w:t>
            </w:r>
          </w:p>
        </w:tc>
        <w:tc>
          <w:tcPr>
            <w:tcW w:w="1527" w:type="pct"/>
            <w:gridSpan w:val="2"/>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二级指标</w:t>
            </w:r>
          </w:p>
        </w:tc>
        <w:tc>
          <w:tcPr>
            <w:tcW w:w="380" w:type="pct"/>
            <w:vAlign w:val="center"/>
          </w:tcPr>
          <w:p>
            <w:pPr>
              <w:pStyle w:val="23"/>
              <w:spacing w:line="230" w:lineRule="exact"/>
              <w:ind w:firstLine="0" w:firstLineChars="0"/>
              <w:jc w:val="center"/>
              <w:rPr>
                <w:rFonts w:ascii="Times New Roman"/>
                <w:sz w:val="18"/>
                <w:szCs w:val="18"/>
              </w:rPr>
            </w:pPr>
            <w:r>
              <w:rPr>
                <w:rFonts w:hint="eastAsia" w:hAnsi="宋体" w:cs="Segoe UI Emoji"/>
                <w:sz w:val="18"/>
                <w:szCs w:val="18"/>
              </w:rPr>
              <w:t>指标类别</w:t>
            </w:r>
          </w:p>
        </w:tc>
        <w:tc>
          <w:tcPr>
            <w:tcW w:w="833" w:type="pct"/>
            <w:vAlign w:val="center"/>
          </w:tcPr>
          <w:p>
            <w:pPr>
              <w:pStyle w:val="23"/>
              <w:spacing w:line="230" w:lineRule="exact"/>
              <w:ind w:firstLine="0" w:firstLineChars="0"/>
              <w:jc w:val="center"/>
              <w:rPr>
                <w:rFonts w:ascii="Times New Roman"/>
                <w:sz w:val="18"/>
                <w:szCs w:val="16"/>
              </w:rPr>
            </w:pPr>
            <w:r>
              <w:rPr>
                <w:rFonts w:hint="eastAsia" w:hAnsi="宋体" w:cs="Segoe UI Emoji"/>
                <w:sz w:val="18"/>
                <w:szCs w:val="16"/>
              </w:rPr>
              <w:t>三星</w:t>
            </w:r>
          </w:p>
        </w:tc>
        <w:tc>
          <w:tcPr>
            <w:tcW w:w="759" w:type="pct"/>
            <w:vAlign w:val="center"/>
          </w:tcPr>
          <w:p>
            <w:pPr>
              <w:pStyle w:val="23"/>
              <w:spacing w:line="230" w:lineRule="exact"/>
              <w:ind w:firstLine="0" w:firstLineChars="0"/>
              <w:jc w:val="center"/>
              <w:rPr>
                <w:rFonts w:ascii="Times New Roman"/>
                <w:sz w:val="18"/>
                <w:szCs w:val="16"/>
              </w:rPr>
            </w:pPr>
            <w:r>
              <w:rPr>
                <w:rFonts w:hint="eastAsia" w:hAnsi="宋体" w:cs="Segoe UI Emoji"/>
                <w:sz w:val="18"/>
                <w:szCs w:val="16"/>
              </w:rPr>
              <w:t>二星</w:t>
            </w:r>
          </w:p>
        </w:tc>
        <w:tc>
          <w:tcPr>
            <w:tcW w:w="1057" w:type="pct"/>
            <w:vAlign w:val="center"/>
          </w:tcPr>
          <w:p>
            <w:pPr>
              <w:pStyle w:val="23"/>
              <w:spacing w:line="230" w:lineRule="exact"/>
              <w:ind w:firstLine="0" w:firstLineChars="0"/>
              <w:jc w:val="center"/>
              <w:rPr>
                <w:rFonts w:ascii="Times New Roman"/>
                <w:sz w:val="18"/>
                <w:szCs w:val="16"/>
              </w:rPr>
            </w:pPr>
            <w:r>
              <w:rPr>
                <w:rFonts w:hint="eastAsia" w:hAnsi="宋体" w:cs="Segoe UI Emoji"/>
                <w:sz w:val="18"/>
                <w:szCs w:val="16"/>
              </w:rPr>
              <w:t>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设施、设备、包装</w:t>
            </w:r>
          </w:p>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器具</w:t>
            </w:r>
          </w:p>
        </w:tc>
        <w:tc>
          <w:tcPr>
            <w:tcW w:w="312" w:type="pct"/>
            <w:vMerge w:val="restart"/>
            <w:vAlign w:val="center"/>
          </w:tcPr>
          <w:p>
            <w:pPr>
              <w:pStyle w:val="23"/>
              <w:spacing w:line="230" w:lineRule="exact"/>
              <w:ind w:firstLine="0" w:firstLineChars="0"/>
              <w:jc w:val="left"/>
              <w:rPr>
                <w:rFonts w:ascii="Times New Roman"/>
                <w:sz w:val="18"/>
                <w:szCs w:val="18"/>
              </w:rPr>
            </w:pPr>
            <w:r>
              <w:rPr>
                <w:rFonts w:hint="eastAsia" w:ascii="Times New Roman"/>
                <w:sz w:val="18"/>
                <w:szCs w:val="18"/>
              </w:rPr>
              <w:t>设备</w:t>
            </w:r>
          </w:p>
        </w:tc>
        <w:tc>
          <w:tcPr>
            <w:tcW w:w="1215" w:type="pct"/>
            <w:vAlign w:val="center"/>
          </w:tcPr>
          <w:p>
            <w:pPr>
              <w:pStyle w:val="23"/>
              <w:spacing w:line="230" w:lineRule="exact"/>
              <w:ind w:firstLine="0" w:firstLineChars="0"/>
              <w:jc w:val="left"/>
              <w:rPr>
                <w:rFonts w:ascii="Times New Roman"/>
                <w:sz w:val="18"/>
                <w:szCs w:val="18"/>
              </w:rPr>
            </w:pPr>
            <w:r>
              <w:rPr>
                <w:rFonts w:hint="eastAsia" w:ascii="Times New Roman"/>
                <w:sz w:val="18"/>
                <w:szCs w:val="18"/>
              </w:rPr>
              <w:t>11.新能源</w:t>
            </w:r>
            <w:r>
              <w:rPr>
                <w:rFonts w:ascii="Times New Roman"/>
                <w:sz w:val="18"/>
                <w:szCs w:val="18"/>
              </w:rPr>
              <w:t>叉车</w:t>
            </w:r>
            <w:r>
              <w:rPr>
                <w:rFonts w:ascii="Times New Roman"/>
                <w:sz w:val="18"/>
                <w:szCs w:val="18"/>
                <w:vertAlign w:val="superscript"/>
              </w:rPr>
              <w:t>b</w:t>
            </w:r>
            <w:r>
              <w:rPr>
                <w:rFonts w:hint="eastAsia" w:ascii="Times New Roman"/>
                <w:sz w:val="18"/>
                <w:szCs w:val="18"/>
              </w:rPr>
              <w:t>比重</w:t>
            </w:r>
          </w:p>
        </w:tc>
        <w:tc>
          <w:tcPr>
            <w:tcW w:w="3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833"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≥90%</w:t>
            </w:r>
          </w:p>
        </w:tc>
        <w:tc>
          <w:tcPr>
            <w:tcW w:w="75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≥70%</w:t>
            </w:r>
          </w:p>
        </w:tc>
        <w:tc>
          <w:tcPr>
            <w:tcW w:w="1057"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12.新能源载运工具（微型和轻型货运汽车）</w:t>
            </w:r>
            <w:r>
              <w:rPr>
                <w:rFonts w:hint="eastAsia" w:ascii="Times New Roman"/>
                <w:sz w:val="18"/>
                <w:szCs w:val="18"/>
              </w:rPr>
              <w:t>比重</w:t>
            </w:r>
          </w:p>
        </w:tc>
        <w:tc>
          <w:tcPr>
            <w:tcW w:w="3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833"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≥30%</w:t>
            </w:r>
          </w:p>
        </w:tc>
        <w:tc>
          <w:tcPr>
            <w:tcW w:w="75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≥20%</w:t>
            </w:r>
          </w:p>
        </w:tc>
        <w:tc>
          <w:tcPr>
            <w:tcW w:w="1057"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13.计量器具</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649" w:type="pct"/>
            <w:gridSpan w:val="3"/>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配备有计量能源和水等资源的计量器具，计量器具应定期检定，并能对计量器具进行维护与管理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包装器具</w:t>
            </w: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4.</w:t>
            </w:r>
            <w:r>
              <w:rPr>
                <w:rFonts w:hint="eastAsia" w:ascii="Times New Roman"/>
                <w:color w:val="000000" w:themeColor="text1"/>
                <w:sz w:val="18"/>
                <w:szCs w:val="18"/>
                <w14:textFill>
                  <w14:solidFill>
                    <w14:schemeClr w14:val="tx1"/>
                  </w14:solidFill>
                </w14:textFill>
              </w:rPr>
              <w:t>标准托盘</w:t>
            </w:r>
            <w:r>
              <w:rPr>
                <w:rFonts w:ascii="Times New Roman"/>
                <w:sz w:val="18"/>
                <w:szCs w:val="18"/>
                <w:vertAlign w:val="superscript"/>
              </w:rPr>
              <w:t>c</w:t>
            </w:r>
            <w:r>
              <w:rPr>
                <w:rFonts w:hint="eastAsia" w:ascii="Times New Roman"/>
                <w:sz w:val="18"/>
                <w:szCs w:val="18"/>
              </w:rPr>
              <w:t>比重</w:t>
            </w:r>
          </w:p>
        </w:tc>
        <w:tc>
          <w:tcPr>
            <w:tcW w:w="3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833"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≥80%</w:t>
            </w:r>
          </w:p>
        </w:tc>
        <w:tc>
          <w:tcPr>
            <w:tcW w:w="75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≥60%</w:t>
            </w:r>
          </w:p>
        </w:tc>
        <w:tc>
          <w:tcPr>
            <w:tcW w:w="1057"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5.</w:t>
            </w:r>
            <w:r>
              <w:rPr>
                <w:rFonts w:hint="eastAsia" w:ascii="Times New Roman"/>
                <w:color w:val="000000" w:themeColor="text1"/>
                <w:sz w:val="18"/>
                <w:szCs w:val="18"/>
                <w14:textFill>
                  <w14:solidFill>
                    <w14:schemeClr w14:val="tx1"/>
                  </w14:solidFill>
                </w14:textFill>
              </w:rPr>
              <w:t>标准周转箱</w:t>
            </w:r>
            <w:r>
              <w:rPr>
                <w:rFonts w:ascii="Times New Roman"/>
                <w:sz w:val="18"/>
                <w:szCs w:val="18"/>
                <w:vertAlign w:val="superscript"/>
              </w:rPr>
              <w:t>d</w:t>
            </w:r>
            <w:r>
              <w:rPr>
                <w:rFonts w:hint="eastAsia" w:ascii="Times New Roman"/>
                <w:sz w:val="18"/>
                <w:szCs w:val="18"/>
              </w:rPr>
              <w:t>比重</w:t>
            </w:r>
          </w:p>
        </w:tc>
        <w:tc>
          <w:tcPr>
            <w:tcW w:w="3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833"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≥60%</w:t>
            </w:r>
          </w:p>
        </w:tc>
        <w:tc>
          <w:tcPr>
            <w:tcW w:w="75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≥50%</w:t>
            </w:r>
          </w:p>
        </w:tc>
        <w:tc>
          <w:tcPr>
            <w:tcW w:w="1057"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16.可降解塑料材料使用</w:t>
            </w:r>
          </w:p>
        </w:tc>
        <w:tc>
          <w:tcPr>
            <w:tcW w:w="380"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2649" w:type="pct"/>
            <w:gridSpan w:val="3"/>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物流包装使用可降解塑料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运营</w:t>
            </w:r>
          </w:p>
        </w:tc>
        <w:tc>
          <w:tcPr>
            <w:tcW w:w="312"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数字化运营</w:t>
            </w: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17.数字化和智能化技术</w:t>
            </w:r>
            <w:r>
              <w:rPr>
                <w:rFonts w:ascii="Times New Roman"/>
                <w:color w:val="000000" w:themeColor="text1"/>
                <w:sz w:val="18"/>
                <w:szCs w:val="18"/>
                <w:vertAlign w:val="superscript"/>
                <w14:textFill>
                  <w14:solidFill>
                    <w14:schemeClr w14:val="tx1"/>
                  </w14:solidFill>
                </w14:textFill>
              </w:rPr>
              <w:t>e</w:t>
            </w:r>
            <w:r>
              <w:rPr>
                <w:rFonts w:hint="eastAsia" w:ascii="Times New Roman"/>
                <w:color w:val="000000" w:themeColor="text1"/>
                <w:sz w:val="18"/>
                <w:szCs w:val="18"/>
                <w14:textFill>
                  <w14:solidFill>
                    <w14:schemeClr w14:val="tx1"/>
                  </w14:solidFill>
                </w14:textFill>
              </w:rPr>
              <w:t>应用</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833"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3项及以上</w:t>
            </w:r>
          </w:p>
        </w:tc>
        <w:tc>
          <w:tcPr>
            <w:tcW w:w="75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2项及以上</w:t>
            </w:r>
          </w:p>
        </w:tc>
        <w:tc>
          <w:tcPr>
            <w:tcW w:w="1057"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18.管理信息系统</w:t>
            </w:r>
            <w:r>
              <w:rPr>
                <w:rFonts w:ascii="Times New Roman"/>
                <w:color w:val="000000" w:themeColor="text1"/>
                <w:sz w:val="18"/>
                <w:szCs w:val="18"/>
                <w:vertAlign w:val="superscript"/>
                <w14:textFill>
                  <w14:solidFill>
                    <w14:schemeClr w14:val="tx1"/>
                  </w14:solidFill>
                </w14:textFill>
              </w:rPr>
              <w:t>f</w:t>
            </w:r>
            <w:r>
              <w:rPr>
                <w:rFonts w:hint="eastAsia" w:ascii="Times New Roman"/>
                <w:color w:val="000000" w:themeColor="text1"/>
                <w:sz w:val="18"/>
                <w:szCs w:val="18"/>
                <w14:textFill>
                  <w14:solidFill>
                    <w14:schemeClr w14:val="tx1"/>
                  </w14:solidFill>
                </w14:textFill>
              </w:rPr>
              <w:t>应用</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833"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5项及以上，且应包括W</w:t>
            </w:r>
            <w:r>
              <w:rPr>
                <w:rFonts w:ascii="Times New Roman"/>
                <w:color w:val="000000" w:themeColor="text1"/>
                <w:sz w:val="18"/>
                <w:szCs w:val="18"/>
                <w14:textFill>
                  <w14:solidFill>
                    <w14:schemeClr w14:val="tx1"/>
                  </w14:solidFill>
                </w14:textFill>
              </w:rPr>
              <w:t>MS</w:t>
            </w:r>
          </w:p>
        </w:tc>
        <w:tc>
          <w:tcPr>
            <w:tcW w:w="759"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4项及以上，且应包括W</w:t>
            </w:r>
            <w:r>
              <w:rPr>
                <w:rFonts w:ascii="Times New Roman"/>
                <w:color w:val="000000" w:themeColor="text1"/>
                <w:sz w:val="18"/>
                <w:szCs w:val="18"/>
                <w14:textFill>
                  <w14:solidFill>
                    <w14:schemeClr w14:val="tx1"/>
                  </w14:solidFill>
                </w14:textFill>
              </w:rPr>
              <w:t>MS</w:t>
            </w:r>
          </w:p>
        </w:tc>
        <w:tc>
          <w:tcPr>
            <w:tcW w:w="1057"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3项及以上，且应包括W</w:t>
            </w:r>
            <w:r>
              <w:rPr>
                <w:rFonts w:ascii="Times New Roman"/>
                <w:color w:val="000000" w:themeColor="text1"/>
                <w:sz w:val="18"/>
                <w:szCs w:val="18"/>
                <w14:textFill>
                  <w14:solidFill>
                    <w14:schemeClr w14:val="tx1"/>
                  </w14:solidFill>
                </w14:textFill>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19.运营方案优化</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649" w:type="pct"/>
            <w:gridSpan w:val="3"/>
            <w:vAlign w:val="center"/>
          </w:tcPr>
          <w:p>
            <w:pPr>
              <w:pStyle w:val="23"/>
              <w:spacing w:line="230" w:lineRule="exact"/>
              <w:ind w:firstLine="0" w:firstLineChars="0"/>
              <w:jc w:val="center"/>
              <w:rPr>
                <w:rFonts w:ascii="Times New Roman"/>
                <w:b/>
                <w:color w:val="000000" w:themeColor="text1"/>
                <w:sz w:val="18"/>
                <w:szCs w:val="18"/>
                <w14:textFill>
                  <w14:solidFill>
                    <w14:schemeClr w14:val="tx1"/>
                  </w14:solidFill>
                </w14:textFill>
              </w:rPr>
            </w:pPr>
            <w:r>
              <w:rPr>
                <w:rFonts w:hint="eastAsia" w:ascii="Times New Roman"/>
                <w:sz w:val="18"/>
                <w:szCs w:val="18"/>
              </w:rPr>
              <w:t>具有优化库区选址、库内布局、货位分配、库内设备调度或运输调度等能力一项及以上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运营模式与效率</w:t>
            </w: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20.物流业务组织模式</w:t>
            </w:r>
            <w:r>
              <w:rPr>
                <w:rFonts w:ascii="Times New Roman"/>
                <w:color w:val="000000" w:themeColor="text1"/>
                <w:sz w:val="18"/>
                <w:szCs w:val="18"/>
                <w:vertAlign w:val="superscript"/>
                <w14:textFill>
                  <w14:solidFill>
                    <w14:schemeClr w14:val="tx1"/>
                  </w14:solidFill>
                </w14:textFill>
              </w:rPr>
              <w:t>g</w:t>
            </w:r>
            <w:r>
              <w:rPr>
                <w:rFonts w:hint="eastAsia" w:ascii="Times New Roman"/>
                <w:color w:val="000000" w:themeColor="text1"/>
                <w:sz w:val="18"/>
                <w:szCs w:val="18"/>
                <w14:textFill>
                  <w14:solidFill>
                    <w14:schemeClr w14:val="tx1"/>
                  </w14:solidFill>
                </w14:textFill>
              </w:rPr>
              <w:t>应用</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592" w:type="pct"/>
            <w:gridSpan w:val="2"/>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2项及以上</w:t>
            </w:r>
          </w:p>
        </w:tc>
        <w:tc>
          <w:tcPr>
            <w:tcW w:w="1057" w:type="pct"/>
            <w:vAlign w:val="center"/>
          </w:tcPr>
          <w:p>
            <w:pPr>
              <w:pStyle w:val="23"/>
              <w:spacing w:line="230" w:lineRule="exact"/>
              <w:ind w:firstLine="0" w:firstLineChars="0"/>
              <w:jc w:val="center"/>
              <w:rPr>
                <w:rFonts w:ascii="Times New Roman"/>
                <w:sz w:val="18"/>
                <w:szCs w:val="18"/>
              </w:rPr>
            </w:pPr>
            <w:r>
              <w:rPr>
                <w:rFonts w:ascii="Times New Roman"/>
                <w:color w:val="000000" w:themeColor="text1"/>
                <w:sz w:val="18"/>
                <w:szCs w:val="18"/>
                <w14:textFill>
                  <w14:solidFill>
                    <w14:schemeClr w14:val="tx1"/>
                  </w14:solidFill>
                </w14:textFill>
              </w:rPr>
              <w:t>1</w:t>
            </w:r>
            <w:r>
              <w:rPr>
                <w:rFonts w:hint="eastAsia" w:ascii="Times New Roman"/>
                <w:color w:val="000000" w:themeColor="text1"/>
                <w:sz w:val="18"/>
                <w:szCs w:val="18"/>
                <w14:textFill>
                  <w14:solidFill>
                    <w14:schemeClr w14:val="tx1"/>
                  </w14:solidFill>
                </w14:textFill>
              </w:rPr>
              <w:t>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sz w:val="18"/>
                <w:szCs w:val="18"/>
              </w:rPr>
              <w:t>21.实载率</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2649" w:type="pct"/>
            <w:gridSpan w:val="3"/>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满足货运汽车≥60%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22.库存周转次数</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必备</w:t>
            </w:r>
          </w:p>
        </w:tc>
        <w:tc>
          <w:tcPr>
            <w:tcW w:w="833"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≥10</w:t>
            </w:r>
          </w:p>
        </w:tc>
        <w:tc>
          <w:tcPr>
            <w:tcW w:w="759"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≥5</w:t>
            </w:r>
          </w:p>
        </w:tc>
        <w:tc>
          <w:tcPr>
            <w:tcW w:w="1057" w:type="pct"/>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资源绿色化</w:t>
            </w: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23.使用可再生能源</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2649" w:type="pct"/>
            <w:gridSpan w:val="3"/>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企业运营设施产生的可再生能源全部或部分自用，或通过绿色电力交易或绿证交易等市场化方式使用可再生能源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312"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15" w:type="pc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24.物流包装减量化</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649" w:type="pct"/>
            <w:gridSpan w:val="3"/>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采用减少二次包装</w:t>
            </w:r>
            <w:r>
              <w:rPr>
                <w:rFonts w:hint="eastAsia" w:ascii="Times New Roman"/>
                <w:color w:val="000000" w:themeColor="text1"/>
                <w:sz w:val="18"/>
                <w:szCs w:val="18"/>
                <w:vertAlign w:val="superscript"/>
                <w14:textFill>
                  <w14:solidFill>
                    <w14:schemeClr w14:val="tx1"/>
                  </w14:solidFill>
                </w14:textFill>
              </w:rPr>
              <w:t>h</w:t>
            </w:r>
            <w:r>
              <w:rPr>
                <w:rFonts w:hint="eastAsia" w:ascii="Times New Roman"/>
                <w:color w:val="000000" w:themeColor="text1"/>
                <w:sz w:val="18"/>
                <w:szCs w:val="18"/>
                <w14:textFill>
                  <w14:solidFill>
                    <w14:schemeClr w14:val="tx1"/>
                  </w14:solidFill>
                </w14:textFill>
              </w:rPr>
              <w:t>、智能算法或减量化包装替代等举措一项及以上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绿色信息披露与生态共建</w:t>
            </w:r>
          </w:p>
        </w:tc>
        <w:tc>
          <w:tcPr>
            <w:tcW w:w="1527"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25.核算和报告节能降碳信息</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649" w:type="pct"/>
            <w:gridSpan w:val="3"/>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有能源消耗清单和节能降碳举措，统计和核算企业或项目层级的能源消耗总量</w:t>
            </w:r>
            <w:r>
              <w:rPr>
                <w:rFonts w:hint="eastAsia" w:ascii="Times New Roman"/>
                <w:color w:val="000000" w:themeColor="text1"/>
                <w:sz w:val="18"/>
                <w:szCs w:val="18"/>
                <w:vertAlign w:val="superscript"/>
                <w14:textFill>
                  <w14:solidFill>
                    <w14:schemeClr w14:val="tx1"/>
                  </w14:solidFill>
                </w14:textFill>
              </w:rPr>
              <w:t>i</w:t>
            </w:r>
            <w:r>
              <w:rPr>
                <w:rFonts w:hint="eastAsia" w:ascii="Times New Roman"/>
                <w:color w:val="000000" w:themeColor="text1"/>
                <w:sz w:val="18"/>
                <w:szCs w:val="18"/>
                <w14:textFill>
                  <w14:solidFill>
                    <w14:schemeClr w14:val="tx1"/>
                  </w14:solidFill>
                </w14:textFill>
              </w:rPr>
              <w:t>和强度</w:t>
            </w:r>
            <w:r>
              <w:rPr>
                <w:rFonts w:ascii="Times New Roman"/>
                <w:color w:val="000000" w:themeColor="text1"/>
                <w:sz w:val="18"/>
                <w:szCs w:val="18"/>
                <w:vertAlign w:val="superscript"/>
                <w14:textFill>
                  <w14:solidFill>
                    <w14:schemeClr w14:val="tx1"/>
                  </w14:solidFill>
                </w14:textFill>
              </w:rPr>
              <w:t>j</w:t>
            </w:r>
            <w:r>
              <w:rPr>
                <w:rFonts w:hint="eastAsia" w:ascii="Times New Roman"/>
                <w:color w:val="000000" w:themeColor="text1"/>
                <w:sz w:val="18"/>
                <w:szCs w:val="18"/>
                <w14:textFill>
                  <w14:solidFill>
                    <w14:schemeClr w14:val="tx1"/>
                  </w14:solidFill>
                </w14:textFill>
              </w:rPr>
              <w:t>，及二氧化碳排放总量</w:t>
            </w:r>
            <w:r>
              <w:rPr>
                <w:rFonts w:ascii="Times New Roman"/>
                <w:color w:val="000000" w:themeColor="text1"/>
                <w:sz w:val="18"/>
                <w:szCs w:val="18"/>
                <w:vertAlign w:val="superscript"/>
                <w14:textFill>
                  <w14:solidFill>
                    <w14:schemeClr w14:val="tx1"/>
                  </w14:solidFill>
                </w14:textFill>
              </w:rPr>
              <w:t>k</w:t>
            </w:r>
            <w:r>
              <w:rPr>
                <w:rFonts w:hint="eastAsia" w:ascii="Times New Roman"/>
                <w:color w:val="000000" w:themeColor="text1"/>
                <w:sz w:val="18"/>
                <w:szCs w:val="18"/>
                <w14:textFill>
                  <w14:solidFill>
                    <w14:schemeClr w14:val="tx1"/>
                  </w14:solidFill>
                </w14:textFill>
              </w:rPr>
              <w:t>或强度</w:t>
            </w:r>
            <w:r>
              <w:rPr>
                <w:rFonts w:ascii="Times New Roman"/>
                <w:color w:val="000000" w:themeColor="text1"/>
                <w:sz w:val="18"/>
                <w:szCs w:val="18"/>
                <w:vertAlign w:val="superscript"/>
                <w14:textFill>
                  <w14:solidFill>
                    <w14:schemeClr w14:val="tx1"/>
                  </w14:solidFill>
                </w14:textFill>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527"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26.社会责任履行情况</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833" w:type="pct"/>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定期发布含绿色物流的报告，且报告公开可获得</w:t>
            </w:r>
          </w:p>
        </w:tc>
        <w:tc>
          <w:tcPr>
            <w:tcW w:w="1816" w:type="pct"/>
            <w:gridSpan w:val="2"/>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公开宣传自身绿色物流实践行动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444" w:type="pct"/>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527" w:type="pct"/>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27.绿色生态共建</w:t>
            </w:r>
          </w:p>
        </w:tc>
        <w:tc>
          <w:tcPr>
            <w:tcW w:w="380" w:type="pct"/>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592" w:type="pct"/>
            <w:gridSpan w:val="2"/>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与合作商建立绿色物流沟通协作机制，了解合作商绿色物流服务需求和举措，有支持合作商开展绿色物流的举措</w:t>
            </w:r>
          </w:p>
        </w:tc>
        <w:tc>
          <w:tcPr>
            <w:tcW w:w="1057" w:type="pct"/>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了解合作商绿色物流服务需求和举措，有支持合作商开展绿色物流的举措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000" w:type="pct"/>
            <w:gridSpan w:val="7"/>
          </w:tcPr>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a </w:t>
            </w:r>
            <w:r>
              <w:rPr>
                <w:rFonts w:hint="eastAsia" w:ascii="Times New Roman"/>
                <w:color w:val="000000" w:themeColor="text1"/>
                <w:sz w:val="18"/>
                <w:szCs w:val="18"/>
                <w14:textFill>
                  <w14:solidFill>
                    <w14:schemeClr w14:val="tx1"/>
                  </w14:solidFill>
                </w14:textFill>
              </w:rPr>
              <w:t>立体库是指有装卸站台、净高大于9</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m或能安装高度7</w:t>
            </w:r>
            <w:r>
              <w:rPr>
                <w:rFonts w:ascii="Times New Roman"/>
                <w:color w:val="000000" w:themeColor="text1"/>
                <w:sz w:val="18"/>
                <w:szCs w:val="18"/>
                <w14:textFill>
                  <w14:solidFill>
                    <w14:schemeClr w14:val="tx1"/>
                  </w14:solidFill>
                </w14:textFill>
              </w:rPr>
              <w:t xml:space="preserve"> m</w:t>
            </w:r>
            <w:r>
              <w:rPr>
                <w:rFonts w:hint="eastAsia" w:ascii="Times New Roman"/>
                <w:color w:val="000000" w:themeColor="text1"/>
                <w:sz w:val="18"/>
                <w:szCs w:val="18"/>
                <w14:textFill>
                  <w14:solidFill>
                    <w14:schemeClr w14:val="tx1"/>
                  </w14:solidFill>
                </w14:textFill>
              </w:rPr>
              <w:t>以上货架的仓库。</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b </w:t>
            </w:r>
            <w:r>
              <w:rPr>
                <w:rFonts w:hint="eastAsia" w:ascii="Times New Roman"/>
                <w:color w:val="000000" w:themeColor="text1"/>
                <w:sz w:val="18"/>
                <w:szCs w:val="18"/>
                <w14:textFill>
                  <w14:solidFill>
                    <w14:schemeClr w14:val="tx1"/>
                  </w14:solidFill>
                </w14:textFill>
              </w:rPr>
              <w:t>新能源叉车是指采用非常规能源，以电力、氢能源作为动力来源的叉车。</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c </w:t>
            </w:r>
            <w:r>
              <w:rPr>
                <w:rFonts w:hint="eastAsia" w:ascii="Times New Roman"/>
                <w:color w:val="000000" w:themeColor="text1"/>
                <w:sz w:val="18"/>
                <w:szCs w:val="18"/>
                <w14:textFill>
                  <w14:solidFill>
                    <w14:schemeClr w14:val="tx1"/>
                  </w14:solidFill>
                </w14:textFill>
              </w:rPr>
              <w:t>标准托盘是指平面尺寸满足</w:t>
            </w:r>
            <w:r>
              <w:rPr>
                <w:rFonts w:ascii="Times New Roman"/>
                <w:color w:val="000000" w:themeColor="text1"/>
                <w:sz w:val="18"/>
                <w:szCs w:val="18"/>
                <w14:textFill>
                  <w14:solidFill>
                    <w14:schemeClr w14:val="tx1"/>
                  </w14:solidFill>
                </w14:textFill>
              </w:rPr>
              <w:t>GB/T 2934</w:t>
            </w:r>
            <w:r>
              <w:rPr>
                <w:rFonts w:hint="eastAsia" w:ascii="Times New Roman"/>
                <w:color w:val="000000" w:themeColor="text1"/>
                <w:sz w:val="18"/>
                <w:szCs w:val="18"/>
                <w14:textFill>
                  <w14:solidFill>
                    <w14:schemeClr w14:val="tx1"/>
                  </w14:solidFill>
                </w14:textFill>
              </w:rPr>
              <w:t>要求的托盘。</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d </w:t>
            </w:r>
            <w:r>
              <w:rPr>
                <w:rFonts w:hint="eastAsia" w:ascii="Times New Roman"/>
                <w:color w:val="000000" w:themeColor="text1"/>
                <w:sz w:val="18"/>
                <w:szCs w:val="18"/>
                <w14:textFill>
                  <w14:solidFill>
                    <w14:schemeClr w14:val="tx1"/>
                  </w14:solidFill>
                </w14:textFill>
              </w:rPr>
              <w:t>标准周转箱是指运输包装模数满足GB/T 4892要求的周转箱。</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黑体" w:hAnsi="黑体" w:eastAsia="黑体"/>
                <w:color w:val="000000" w:themeColor="text1"/>
                <w:sz w:val="18"/>
                <w:szCs w:val="18"/>
                <w:vertAlign w:val="superscript"/>
                <w14:textFill>
                  <w14:solidFill>
                    <w14:schemeClr w14:val="tx1"/>
                  </w14:solidFill>
                </w14:textFill>
              </w:rPr>
              <w:t>e</w:t>
            </w:r>
            <w:r>
              <w:rPr>
                <w:rFonts w:hint="eastAsia" w:ascii="黑体" w:hAnsi="黑体" w:eastAsia="黑体"/>
                <w:color w:val="000000" w:themeColor="text1"/>
                <w:sz w:val="18"/>
                <w:szCs w:val="18"/>
                <w:vertAlign w:val="superscript"/>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数字化和智能化技术包括自动识别标识技术(含条码识别技术、生物识别技术、图像识别技术或射频识别技术RFID等</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、智能照明控制技术(含分时、分区自动感应，按需智能开关和调节技术等</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、人工智能技术(含大数据、计算机视觉、语音识别、自然语言处理或机器学习等</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、环境感知技术(重量、体积、温度、油量或电量等智能监测技术）、智能缴费技术(ETC</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等。</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黑体" w:hAnsi="黑体" w:eastAsia="黑体"/>
                <w:color w:val="000000" w:themeColor="text1"/>
                <w:sz w:val="18"/>
                <w:szCs w:val="18"/>
                <w:vertAlign w:val="superscript"/>
                <w14:textFill>
                  <w14:solidFill>
                    <w14:schemeClr w14:val="tx1"/>
                  </w14:solidFill>
                </w14:textFill>
              </w:rPr>
              <w:t xml:space="preserve">f </w:t>
            </w:r>
            <w:r>
              <w:rPr>
                <w:rFonts w:hint="eastAsia" w:ascii="Times New Roman"/>
                <w:color w:val="000000" w:themeColor="text1"/>
                <w:sz w:val="18"/>
                <w:szCs w:val="18"/>
                <w14:textFill>
                  <w14:solidFill>
                    <w14:schemeClr w14:val="tx1"/>
                  </w14:solidFill>
                </w14:textFill>
              </w:rPr>
              <w:t>管理信息系统包括企业管理软件(ERP</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、能源管理系统(EMS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、订单管理系统(OMS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、仓库管理系统(WMS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、运输管理系统(TMS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、电子订货系统(EOS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、自动存取系统(AS/RS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、办公自动化系统(OAS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等。</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g</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物流业务组织模式包括逆向物流、多式联运、统仓统配、云仓、共同配送、集中配送、全天候配送等。</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vertAlign w:val="superscript"/>
                <w14:textFill>
                  <w14:solidFill>
                    <w14:schemeClr w14:val="tx1"/>
                  </w14:solidFill>
                </w14:textFill>
              </w:rPr>
              <w:t>h</w:t>
            </w:r>
            <w:r>
              <w:rPr>
                <w:rFonts w:ascii="Times New Roman"/>
                <w:color w:val="000000" w:themeColor="text1"/>
                <w:sz w:val="18"/>
                <w:szCs w:val="18"/>
                <w:vertAlign w:val="superscript"/>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二次包装包括物流作业过程中的货物包装拆分和重新包装。</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i</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能源消耗总量是指企业或项目在一定时期内消耗的各种能源的总和，单位为吨标准煤（tce），各种能源折标准煤系数见附录B</w:t>
            </w:r>
            <w:r>
              <w:rPr>
                <w:rFonts w:ascii="Times New Roman"/>
                <w:color w:val="000000" w:themeColor="text1"/>
                <w:sz w:val="18"/>
                <w:szCs w:val="18"/>
                <w14:textFill>
                  <w14:solidFill>
                    <w14:schemeClr w14:val="tx1"/>
                  </w14:solidFill>
                </w14:textFill>
              </w:rPr>
              <w:t>.1</w:t>
            </w:r>
            <w:r>
              <w:rPr>
                <w:rFonts w:hint="eastAsia" w:ascii="Times New Roman"/>
                <w:color w:val="000000" w:themeColor="text1"/>
                <w:sz w:val="18"/>
                <w:szCs w:val="18"/>
                <w14:textFill>
                  <w14:solidFill>
                    <w14:schemeClr w14:val="tx1"/>
                  </w14:solidFill>
                </w14:textFill>
              </w:rPr>
              <w:t>。</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j </w:t>
            </w:r>
            <w:r>
              <w:rPr>
                <w:rFonts w:hint="eastAsia" w:ascii="Times New Roman"/>
                <w:color w:val="000000" w:themeColor="text1"/>
                <w:sz w:val="18"/>
                <w:szCs w:val="18"/>
                <w14:textFill>
                  <w14:solidFill>
                    <w14:schemeClr w14:val="tx1"/>
                  </w14:solidFill>
                </w14:textFill>
              </w:rPr>
              <w:t>能源消耗强度是指企业或项目在一定时期内单位营业收入的能源消耗量，单位为吨标准煤/万元（tce/万元）；或是单位业务量的能源消耗量，单位为吨标准煤/百万吨公里（tce/</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t·k</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）或吨标准煤/万吨吞吐量（tce/10</w:t>
            </w:r>
            <w:r>
              <w:rPr>
                <w:rFonts w:ascii="Times New Roman"/>
                <w:color w:val="000000" w:themeColor="text1"/>
                <w:sz w:val="18"/>
                <w:szCs w:val="18"/>
                <w14:textFill>
                  <w14:solidFill>
                    <w14:schemeClr w14:val="tx1"/>
                  </w14:solidFill>
                </w14:textFill>
              </w:rPr>
              <w:t>kt</w:t>
            </w:r>
            <w:r>
              <w:rPr>
                <w:rFonts w:hint="eastAsia" w:ascii="Times New Roman"/>
                <w:color w:val="000000" w:themeColor="text1"/>
                <w:sz w:val="18"/>
                <w:szCs w:val="18"/>
                <w14:textFill>
                  <w14:solidFill>
                    <w14:schemeClr w14:val="tx1"/>
                  </w14:solidFill>
                </w14:textFill>
              </w:rPr>
              <w:t>）。</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k</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二氧化碳排放总量是指企业或项目在一定时期内直接产生和与能源相关间接产生的二氧化碳排放量总量，单位为吨（t），各种能源碳排放因子见附录B</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2。</w:t>
            </w:r>
          </w:p>
          <w:p>
            <w:pPr>
              <w:pStyle w:val="23"/>
              <w:spacing w:line="230" w:lineRule="exact"/>
              <w:ind w:firstLine="360"/>
              <w:jc w:val="left"/>
              <w:rPr>
                <w:rFonts w:ascii="Times New Roman"/>
                <w:sz w:val="18"/>
                <w:szCs w:val="18"/>
              </w:rPr>
            </w:pPr>
            <w:r>
              <w:rPr>
                <w:rFonts w:ascii="Times New Roman"/>
                <w:color w:val="000000" w:themeColor="text1"/>
                <w:sz w:val="18"/>
                <w:szCs w:val="18"/>
                <w:vertAlign w:val="superscript"/>
                <w14:textFill>
                  <w14:solidFill>
                    <w14:schemeClr w14:val="tx1"/>
                  </w14:solidFill>
                </w14:textFill>
              </w:rPr>
              <w:t>l</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二氧化碳排放强度是指企业或项目在一定时期内单位营业收入的二氧化碳排放量，单位为吨/万元（t/万元）；或是单位业务量的二氧化碳排放量，单位为吨/百万吨公里（t/</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t·k</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）或吨/万吨吞吐量（t/10</w:t>
            </w:r>
            <w:r>
              <w:rPr>
                <w:rFonts w:ascii="Times New Roman"/>
                <w:color w:val="000000" w:themeColor="text1"/>
                <w:sz w:val="18"/>
                <w:szCs w:val="18"/>
                <w14:textFill>
                  <w14:solidFill>
                    <w14:schemeClr w14:val="tx1"/>
                  </w14:solidFill>
                </w14:textFill>
              </w:rPr>
              <w:t>kt</w:t>
            </w:r>
            <w:r>
              <w:rPr>
                <w:rFonts w:hint="eastAsia" w:ascii="Times New Roman"/>
                <w:color w:val="000000" w:themeColor="text1"/>
                <w:sz w:val="18"/>
                <w:szCs w:val="18"/>
                <w14:textFill>
                  <w14:solidFill>
                    <w14:schemeClr w14:val="tx1"/>
                  </w14:solidFill>
                </w14:textFill>
              </w:rPr>
              <w:t>）。</w:t>
            </w:r>
          </w:p>
        </w:tc>
      </w:tr>
    </w:tbl>
    <w:p>
      <w:pPr>
        <w:pStyle w:val="26"/>
        <w:spacing w:before="120" w:after="120"/>
        <w:rPr>
          <w:rFonts w:hAnsi="黑体"/>
        </w:rPr>
      </w:pPr>
      <w:r>
        <w:rPr>
          <w:rFonts w:hint="eastAsia" w:hAnsi="黑体"/>
        </w:rPr>
        <w:t>综合型物流企业</w:t>
      </w:r>
    </w:p>
    <w:p>
      <w:pPr>
        <w:pStyle w:val="11"/>
        <w:ind w:firstLine="420"/>
        <w:rPr>
          <w:rFonts w:ascii="Times New Roman"/>
        </w:rPr>
      </w:pPr>
      <w:r>
        <w:rPr>
          <w:rFonts w:hint="eastAsia" w:ascii="Times New Roman"/>
        </w:rPr>
        <w:t>综合型物流企业绿色物流评估指标应按表3。</w:t>
      </w:r>
    </w:p>
    <w:p>
      <w:pPr>
        <w:pStyle w:val="23"/>
        <w:spacing w:before="120" w:beforeLines="50" w:after="120" w:afterLines="50"/>
        <w:jc w:val="center"/>
        <w:rPr>
          <w:rFonts w:ascii="黑体" w:hAnsi="黑体" w:eastAsia="黑体"/>
          <w:color w:val="000000" w:themeColor="text1"/>
          <w:szCs w:val="18"/>
          <w14:textFill>
            <w14:solidFill>
              <w14:schemeClr w14:val="tx1"/>
            </w14:solidFill>
          </w14:textFill>
        </w:rPr>
      </w:pPr>
      <w:r>
        <w:rPr>
          <w:rFonts w:hint="eastAsia" w:ascii="黑体" w:hAnsi="黑体" w:eastAsia="黑体"/>
          <w:color w:val="000000" w:themeColor="text1"/>
          <w:szCs w:val="18"/>
          <w14:textFill>
            <w14:solidFill>
              <w14:schemeClr w14:val="tx1"/>
            </w14:solidFill>
          </w14:textFill>
        </w:rPr>
        <w:t>表 3 综合型物流企业绿色物流评估指标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695"/>
        <w:gridCol w:w="2126"/>
        <w:gridCol w:w="709"/>
        <w:gridCol w:w="1843"/>
        <w:gridCol w:w="1701"/>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106" w:type="dxa"/>
            <w:gridSpan w:val="4"/>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评估指标</w:t>
            </w:r>
          </w:p>
        </w:tc>
        <w:tc>
          <w:tcPr>
            <w:tcW w:w="5238"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一级指标</w:t>
            </w:r>
          </w:p>
        </w:tc>
        <w:tc>
          <w:tcPr>
            <w:tcW w:w="2821"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二级指标</w:t>
            </w:r>
          </w:p>
        </w:tc>
        <w:tc>
          <w:tcPr>
            <w:tcW w:w="709" w:type="dxa"/>
            <w:vAlign w:val="center"/>
          </w:tcPr>
          <w:p>
            <w:pPr>
              <w:pStyle w:val="23"/>
              <w:spacing w:line="230" w:lineRule="exact"/>
              <w:ind w:firstLine="0" w:firstLineChars="0"/>
              <w:jc w:val="center"/>
              <w:rPr>
                <w:rFonts w:hAnsi="宋体" w:cs="Segoe UI Emoji"/>
                <w:sz w:val="18"/>
                <w:szCs w:val="18"/>
              </w:rPr>
            </w:pPr>
            <w:r>
              <w:rPr>
                <w:rFonts w:hint="eastAsia" w:hAnsi="宋体" w:cs="Segoe UI Emoji"/>
                <w:sz w:val="18"/>
                <w:szCs w:val="18"/>
              </w:rPr>
              <w:t>指标类别</w:t>
            </w:r>
          </w:p>
        </w:tc>
        <w:tc>
          <w:tcPr>
            <w:tcW w:w="1843" w:type="dxa"/>
            <w:vAlign w:val="center"/>
          </w:tcPr>
          <w:p>
            <w:pPr>
              <w:pStyle w:val="23"/>
              <w:spacing w:line="230" w:lineRule="exact"/>
              <w:ind w:firstLine="0" w:firstLineChars="0"/>
              <w:jc w:val="center"/>
              <w:rPr>
                <w:rFonts w:ascii="Times New Roman"/>
                <w:color w:val="000000" w:themeColor="text1"/>
                <w:sz w:val="18"/>
                <w:szCs w:val="16"/>
                <w14:textFill>
                  <w14:solidFill>
                    <w14:schemeClr w14:val="tx1"/>
                  </w14:solidFill>
                </w14:textFill>
              </w:rPr>
            </w:pPr>
            <w:r>
              <w:rPr>
                <w:rFonts w:hint="eastAsia" w:hAnsi="宋体" w:cs="Segoe UI Emoji"/>
                <w:sz w:val="18"/>
                <w:szCs w:val="16"/>
              </w:rPr>
              <w:t>三星</w:t>
            </w:r>
          </w:p>
        </w:tc>
        <w:tc>
          <w:tcPr>
            <w:tcW w:w="1701" w:type="dxa"/>
            <w:vAlign w:val="center"/>
          </w:tcPr>
          <w:p>
            <w:pPr>
              <w:pStyle w:val="23"/>
              <w:spacing w:line="230" w:lineRule="exact"/>
              <w:ind w:firstLine="0" w:firstLineChars="0"/>
              <w:jc w:val="center"/>
              <w:rPr>
                <w:rFonts w:ascii="Times New Roman"/>
                <w:color w:val="000000" w:themeColor="text1"/>
                <w:sz w:val="18"/>
                <w:szCs w:val="16"/>
                <w14:textFill>
                  <w14:solidFill>
                    <w14:schemeClr w14:val="tx1"/>
                  </w14:solidFill>
                </w14:textFill>
              </w:rPr>
            </w:pPr>
            <w:r>
              <w:rPr>
                <w:rFonts w:hint="eastAsia" w:hAnsi="宋体" w:cs="Segoe UI Emoji"/>
                <w:sz w:val="18"/>
                <w:szCs w:val="16"/>
              </w:rPr>
              <w:t>二星</w:t>
            </w:r>
          </w:p>
        </w:tc>
        <w:tc>
          <w:tcPr>
            <w:tcW w:w="1694" w:type="dxa"/>
            <w:vAlign w:val="center"/>
          </w:tcPr>
          <w:p>
            <w:pPr>
              <w:pStyle w:val="23"/>
              <w:spacing w:line="230" w:lineRule="exact"/>
              <w:ind w:firstLine="0" w:firstLineChars="0"/>
              <w:jc w:val="center"/>
              <w:rPr>
                <w:rFonts w:ascii="Times New Roman"/>
                <w:color w:val="000000" w:themeColor="text1"/>
                <w:sz w:val="18"/>
                <w:szCs w:val="16"/>
                <w14:textFill>
                  <w14:solidFill>
                    <w14:schemeClr w14:val="tx1"/>
                  </w14:solidFill>
                </w14:textFill>
              </w:rPr>
            </w:pPr>
            <w:r>
              <w:rPr>
                <w:rFonts w:hint="eastAsia" w:hAnsi="宋体" w:cs="Segoe UI Emoji"/>
                <w:sz w:val="18"/>
                <w:szCs w:val="16"/>
              </w:rPr>
              <w:t>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规模</w:t>
            </w:r>
          </w:p>
        </w:tc>
        <w:tc>
          <w:tcPr>
            <w:tcW w:w="2821" w:type="dxa"/>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1.自有和租用仓储面积/m</w:t>
            </w:r>
            <w:r>
              <w:rPr>
                <w:rFonts w:ascii="Times New Roman"/>
                <w:color w:val="000000" w:themeColor="text1"/>
                <w:sz w:val="18"/>
                <w:szCs w:val="18"/>
                <w:vertAlign w:val="superscript"/>
                <w14:textFill>
                  <w14:solidFill>
                    <w14:schemeClr w14:val="tx1"/>
                  </w14:solidFill>
                </w14:textFill>
              </w:rPr>
              <w:t>2</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1843"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≥30 000</w:t>
            </w:r>
          </w:p>
        </w:tc>
        <w:tc>
          <w:tcPr>
            <w:tcW w:w="170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≥10 000</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821" w:type="dxa"/>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2.自有和租用货运汽车/辆（或货物运输装备总载重量/t）</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843"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≥500</w:t>
            </w:r>
          </w:p>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（≥2 500）</w:t>
            </w:r>
          </w:p>
        </w:tc>
        <w:tc>
          <w:tcPr>
            <w:tcW w:w="170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≥300</w:t>
            </w:r>
          </w:p>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（≥1 500）</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≥100</w:t>
            </w:r>
          </w:p>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管理</w:t>
            </w:r>
          </w:p>
        </w:tc>
        <w:tc>
          <w:tcPr>
            <w:tcW w:w="2821" w:type="dxa"/>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3.管理组织与人员</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3544"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企业内部设有绿色发展管理部门或由多部门专职人员组成的绿色发展管理协调</w:t>
            </w:r>
            <w:r>
              <w:rPr>
                <w:rFonts w:hint="eastAsia" w:ascii="Times New Roman"/>
                <w:sz w:val="18"/>
                <w:szCs w:val="18"/>
              </w:rPr>
              <w:t>工作组</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有明确绿色物流相关人员和职责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821" w:type="dxa"/>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4.管理制度</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843"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有绿色发展管理组织工作制度、标准化物流作业与管理制度、节能降碳制度、能源消耗统计制度、节能宣传教育和培训制度</w:t>
            </w:r>
          </w:p>
        </w:tc>
        <w:tc>
          <w:tcPr>
            <w:tcW w:w="170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有绿色发展管理组织工作制度、标准化物流作业与管理制度、能源消耗统计制度、节能宣传教育和培训制度</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有标准化物流作业与管理制度、能源消耗统计制度、节能宣传教育和培训制度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821" w:type="dxa"/>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5.管理体系</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1843"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应按照GB/T 19001和GB/T 24001建立质量和环境管理体系，并通过国家或行业相关认证。应按照GB/T 23331建立能源管理体系。</w:t>
            </w:r>
          </w:p>
        </w:tc>
        <w:tc>
          <w:tcPr>
            <w:tcW w:w="1701"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应按照GB/T 19001和GB/T 24001建立质量和环境管理体系，并通过国家或行业相关认证。</w:t>
            </w:r>
          </w:p>
        </w:tc>
        <w:tc>
          <w:tcPr>
            <w:tcW w:w="1694"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应按照GB/T 19001建立质量管理体系，并通过国家或行业相关认证。应按照GB/T 24001建立环境管理体系。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821" w:type="dxa"/>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6.绿色物流发展规划与实施</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3544"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有绿色物流发展规划并制定相应工作计划和实施方案，有人力、财力、设备及技术资源支持</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有绿色物流发展规划并制定相应工作计划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设施、设备、包装</w:t>
            </w:r>
          </w:p>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器具</w:t>
            </w:r>
          </w:p>
        </w:tc>
        <w:tc>
          <w:tcPr>
            <w:tcW w:w="695"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设施</w:t>
            </w: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7.交通连接方式</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5238"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应具备两种以上（含两种）运输方式或毗邻两条以上（含两条）高速公路、国道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8.仓库</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3544"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有立体库</w:t>
            </w:r>
            <w:r>
              <w:rPr>
                <w:rFonts w:hint="eastAsia" w:ascii="Times New Roman"/>
                <w:color w:val="000000" w:themeColor="text1"/>
                <w:sz w:val="18"/>
                <w:szCs w:val="18"/>
                <w:vertAlign w:val="superscript"/>
                <w14:textFill>
                  <w14:solidFill>
                    <w14:schemeClr w14:val="tx1"/>
                  </w14:solidFill>
                </w14:textFill>
              </w:rPr>
              <w:t>a</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9.主要设施</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5238"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采用高效冷源、绿色照明、建筑保温隔热、自然采光或自然通风等节能举措一项及以上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10.辅助设施</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5238"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配套有满足新能源载运工具和清洁环保载运工具充（换）电、岸电、加气或加氢需求的辅助设施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360"/>
              <w:jc w:val="left"/>
              <w:rPr>
                <w:rFonts w:ascii="Times New Roman"/>
                <w:color w:val="000000" w:themeColor="text1"/>
                <w:sz w:val="18"/>
                <w:szCs w:val="18"/>
                <w14:textFill>
                  <w14:solidFill>
                    <w14:schemeClr w14:val="tx1"/>
                  </w14:solidFill>
                </w14:textFill>
              </w:rPr>
            </w:pPr>
          </w:p>
        </w:tc>
        <w:tc>
          <w:tcPr>
            <w:tcW w:w="695" w:type="dxa"/>
            <w:vMerge w:val="restart"/>
            <w:vAlign w:val="center"/>
          </w:tcPr>
          <w:p>
            <w:pPr>
              <w:pStyle w:val="23"/>
              <w:spacing w:line="230" w:lineRule="exact"/>
              <w:ind w:firstLine="0" w:firstLineChars="0"/>
              <w:jc w:val="left"/>
              <w:rPr>
                <w:rFonts w:ascii="Times New Roman"/>
                <w:sz w:val="18"/>
                <w:szCs w:val="18"/>
              </w:rPr>
            </w:pPr>
            <w:r>
              <w:rPr>
                <w:rFonts w:hint="eastAsia" w:ascii="Times New Roman"/>
                <w:sz w:val="18"/>
                <w:szCs w:val="18"/>
              </w:rPr>
              <w:t>设备</w:t>
            </w:r>
          </w:p>
        </w:tc>
        <w:tc>
          <w:tcPr>
            <w:tcW w:w="2126" w:type="dxa"/>
            <w:vAlign w:val="center"/>
          </w:tcPr>
          <w:p>
            <w:pPr>
              <w:pStyle w:val="23"/>
              <w:spacing w:line="230" w:lineRule="exact"/>
              <w:ind w:firstLine="0" w:firstLineChars="0"/>
              <w:jc w:val="left"/>
              <w:rPr>
                <w:rFonts w:ascii="Times New Roman"/>
                <w:sz w:val="18"/>
                <w:szCs w:val="18"/>
              </w:rPr>
            </w:pPr>
            <w:r>
              <w:rPr>
                <w:rFonts w:hint="eastAsia" w:ascii="Times New Roman"/>
                <w:sz w:val="18"/>
                <w:szCs w:val="18"/>
              </w:rPr>
              <w:t>11.新能源</w:t>
            </w:r>
            <w:r>
              <w:rPr>
                <w:rFonts w:ascii="Times New Roman"/>
                <w:sz w:val="18"/>
                <w:szCs w:val="18"/>
              </w:rPr>
              <w:t>叉车</w:t>
            </w:r>
            <w:r>
              <w:rPr>
                <w:rFonts w:ascii="Times New Roman"/>
                <w:sz w:val="18"/>
                <w:szCs w:val="18"/>
                <w:vertAlign w:val="superscript"/>
              </w:rPr>
              <w:t>b</w:t>
            </w:r>
            <w:r>
              <w:rPr>
                <w:rFonts w:hint="eastAsia" w:ascii="Times New Roman"/>
                <w:sz w:val="18"/>
                <w:szCs w:val="18"/>
              </w:rPr>
              <w:t>比重</w:t>
            </w:r>
          </w:p>
        </w:tc>
        <w:tc>
          <w:tcPr>
            <w:tcW w:w="709"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必备</w:t>
            </w:r>
          </w:p>
        </w:tc>
        <w:tc>
          <w:tcPr>
            <w:tcW w:w="1843"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≥90%</w:t>
            </w:r>
          </w:p>
        </w:tc>
        <w:tc>
          <w:tcPr>
            <w:tcW w:w="1701"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≥70%</w:t>
            </w:r>
          </w:p>
        </w:tc>
        <w:tc>
          <w:tcPr>
            <w:tcW w:w="1694"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sz w:val="18"/>
                <w:szCs w:val="18"/>
              </w:rPr>
            </w:pPr>
            <w:r>
              <w:rPr>
                <w:rFonts w:hint="eastAsia" w:ascii="Times New Roman"/>
                <w:sz w:val="18"/>
                <w:szCs w:val="18"/>
              </w:rPr>
              <w:t>1</w:t>
            </w:r>
            <w:r>
              <w:rPr>
                <w:rFonts w:ascii="Times New Roman"/>
                <w:sz w:val="18"/>
                <w:szCs w:val="18"/>
              </w:rPr>
              <w:t>2.</w:t>
            </w:r>
            <w:r>
              <w:rPr>
                <w:rFonts w:hint="eastAsia" w:ascii="Times New Roman"/>
                <w:sz w:val="18"/>
                <w:szCs w:val="18"/>
              </w:rPr>
              <w:t>新能源载运工具（微型和轻型货运汽车）比重</w:t>
            </w:r>
          </w:p>
        </w:tc>
        <w:tc>
          <w:tcPr>
            <w:tcW w:w="709"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必备</w:t>
            </w:r>
          </w:p>
        </w:tc>
        <w:tc>
          <w:tcPr>
            <w:tcW w:w="1843"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≥30%</w:t>
            </w:r>
          </w:p>
        </w:tc>
        <w:tc>
          <w:tcPr>
            <w:tcW w:w="1701"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≥20%</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3.</w:t>
            </w:r>
            <w:r>
              <w:rPr>
                <w:rFonts w:hint="eastAsia" w:ascii="Times New Roman"/>
                <w:color w:val="000000" w:themeColor="text1"/>
                <w:sz w:val="18"/>
                <w:szCs w:val="18"/>
                <w14:textFill>
                  <w14:solidFill>
                    <w14:schemeClr w14:val="tx1"/>
                  </w14:solidFill>
                </w14:textFill>
              </w:rPr>
              <w:t>新能源载运工具与</w:t>
            </w:r>
            <w:r>
              <w:rPr>
                <w:rFonts w:hint="eastAsia" w:ascii="Times New Roman"/>
                <w:sz w:val="18"/>
                <w:szCs w:val="18"/>
              </w:rPr>
              <w:t>清洁环保</w:t>
            </w:r>
            <w:r>
              <w:rPr>
                <w:rFonts w:hint="eastAsia" w:ascii="Times New Roman"/>
                <w:color w:val="000000" w:themeColor="text1"/>
                <w:sz w:val="18"/>
                <w:szCs w:val="18"/>
                <w14:textFill>
                  <w14:solidFill>
                    <w14:schemeClr w14:val="tx1"/>
                  </w14:solidFill>
                </w14:textFill>
              </w:rPr>
              <w:t>载运工具</w:t>
            </w:r>
            <w:r>
              <w:rPr>
                <w:rFonts w:hint="eastAsia" w:ascii="Times New Roman"/>
                <w:sz w:val="18"/>
                <w:szCs w:val="18"/>
              </w:rPr>
              <w:t>（中型和重型货运汽车）比重</w:t>
            </w:r>
          </w:p>
        </w:tc>
        <w:tc>
          <w:tcPr>
            <w:tcW w:w="709"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必备</w:t>
            </w:r>
          </w:p>
        </w:tc>
        <w:tc>
          <w:tcPr>
            <w:tcW w:w="1843"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≥20%</w:t>
            </w:r>
          </w:p>
        </w:tc>
        <w:tc>
          <w:tcPr>
            <w:tcW w:w="1701"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≥10%</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4.</w:t>
            </w:r>
            <w:r>
              <w:rPr>
                <w:rFonts w:hint="eastAsia" w:ascii="Times New Roman"/>
                <w:color w:val="000000" w:themeColor="text1"/>
                <w:sz w:val="18"/>
                <w:szCs w:val="18"/>
                <w14:textFill>
                  <w14:solidFill>
                    <w14:schemeClr w14:val="tx1"/>
                  </w14:solidFill>
                </w14:textFill>
              </w:rPr>
              <w:t>新能源载运工具与清洁环保载运工具（货运船舶或货运飞机）</w:t>
            </w:r>
          </w:p>
        </w:tc>
        <w:tc>
          <w:tcPr>
            <w:tcW w:w="709"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5238" w:type="dxa"/>
            <w:gridSpan w:val="3"/>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使用新能源</w:t>
            </w:r>
            <w:r>
              <w:rPr>
                <w:rFonts w:hint="eastAsia" w:ascii="Times New Roman"/>
                <w:color w:val="000000" w:themeColor="text1"/>
                <w:sz w:val="18"/>
                <w:szCs w:val="18"/>
                <w14:textFill>
                  <w14:solidFill>
                    <w14:schemeClr w14:val="tx1"/>
                  </w14:solidFill>
                </w14:textFill>
              </w:rPr>
              <w:t>载运工具</w:t>
            </w:r>
            <w:r>
              <w:rPr>
                <w:rFonts w:hint="eastAsia" w:ascii="Times New Roman"/>
                <w:sz w:val="18"/>
                <w:szCs w:val="18"/>
              </w:rPr>
              <w:t>与清洁环保</w:t>
            </w:r>
            <w:r>
              <w:rPr>
                <w:rFonts w:hint="eastAsia" w:ascii="Times New Roman"/>
                <w:color w:val="000000" w:themeColor="text1"/>
                <w:sz w:val="18"/>
                <w:szCs w:val="18"/>
                <w14:textFill>
                  <w14:solidFill>
                    <w14:schemeClr w14:val="tx1"/>
                  </w14:solidFill>
                </w14:textFill>
              </w:rPr>
              <w:t>载运工具</w:t>
            </w:r>
            <w:r>
              <w:rPr>
                <w:rFonts w:hint="eastAsia" w:ascii="Times New Roman"/>
                <w:sz w:val="18"/>
                <w:szCs w:val="18"/>
              </w:rPr>
              <w:t>（货运船舶或货运飞机）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5.</w:t>
            </w:r>
            <w:r>
              <w:rPr>
                <w:rFonts w:hint="eastAsia" w:ascii="Times New Roman"/>
                <w:color w:val="000000" w:themeColor="text1"/>
                <w:sz w:val="18"/>
                <w:szCs w:val="18"/>
                <w14:textFill>
                  <w14:solidFill>
                    <w14:schemeClr w14:val="tx1"/>
                  </w14:solidFill>
                </w14:textFill>
              </w:rPr>
              <w:t>计量器具</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5238" w:type="dxa"/>
            <w:gridSpan w:val="3"/>
            <w:vAlign w:val="center"/>
          </w:tcPr>
          <w:p>
            <w:pPr>
              <w:pStyle w:val="23"/>
              <w:spacing w:line="230" w:lineRule="exact"/>
              <w:ind w:firstLine="0" w:firstLineChars="0"/>
              <w:jc w:val="center"/>
              <w:rPr>
                <w:rFonts w:ascii="Times New Roman"/>
                <w:sz w:val="18"/>
                <w:szCs w:val="18"/>
              </w:rPr>
            </w:pPr>
            <w:r>
              <w:rPr>
                <w:rFonts w:hint="eastAsia" w:ascii="Times New Roman"/>
                <w:color w:val="000000" w:themeColor="text1"/>
                <w:sz w:val="18"/>
                <w:szCs w:val="18"/>
                <w14:textFill>
                  <w14:solidFill>
                    <w14:schemeClr w14:val="tx1"/>
                  </w14:solidFill>
                </w14:textFill>
              </w:rPr>
              <w:t>配备有计量能源和水等资源的计量器具，计量器具应定期检定，并能对计量器具进行维护与管理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包装器具</w:t>
            </w: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6.</w:t>
            </w:r>
            <w:r>
              <w:rPr>
                <w:rFonts w:hint="eastAsia" w:ascii="Times New Roman"/>
                <w:color w:val="000000" w:themeColor="text1"/>
                <w:sz w:val="18"/>
                <w:szCs w:val="18"/>
                <w14:textFill>
                  <w14:solidFill>
                    <w14:schemeClr w14:val="tx1"/>
                  </w14:solidFill>
                </w14:textFill>
              </w:rPr>
              <w:t>标准托盘</w:t>
            </w:r>
            <w:r>
              <w:rPr>
                <w:rFonts w:hint="eastAsia" w:ascii="Times New Roman"/>
                <w:color w:val="000000" w:themeColor="text1"/>
                <w:sz w:val="18"/>
                <w:szCs w:val="18"/>
                <w:vertAlign w:val="superscript"/>
                <w14:textFill>
                  <w14:solidFill>
                    <w14:schemeClr w14:val="tx1"/>
                  </w14:solidFill>
                </w14:textFill>
              </w:rPr>
              <w:t>c</w:t>
            </w:r>
            <w:r>
              <w:rPr>
                <w:rFonts w:hint="eastAsia" w:ascii="Times New Roman"/>
                <w:color w:val="000000" w:themeColor="text1"/>
                <w:sz w:val="18"/>
                <w:szCs w:val="18"/>
                <w14:textFill>
                  <w14:solidFill>
                    <w14:schemeClr w14:val="tx1"/>
                  </w14:solidFill>
                </w14:textFill>
              </w:rPr>
              <w:t>比重</w:t>
            </w:r>
          </w:p>
        </w:tc>
        <w:tc>
          <w:tcPr>
            <w:tcW w:w="709"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必备</w:t>
            </w:r>
          </w:p>
        </w:tc>
        <w:tc>
          <w:tcPr>
            <w:tcW w:w="1843"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≥90%</w:t>
            </w:r>
          </w:p>
        </w:tc>
        <w:tc>
          <w:tcPr>
            <w:tcW w:w="1701"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≥70%</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7.</w:t>
            </w:r>
            <w:r>
              <w:rPr>
                <w:rFonts w:hint="eastAsia" w:ascii="Times New Roman"/>
                <w:color w:val="000000" w:themeColor="text1"/>
                <w:sz w:val="18"/>
                <w:szCs w:val="18"/>
                <w14:textFill>
                  <w14:solidFill>
                    <w14:schemeClr w14:val="tx1"/>
                  </w14:solidFill>
                </w14:textFill>
              </w:rPr>
              <w:t>标准周转箱</w:t>
            </w:r>
            <w:r>
              <w:rPr>
                <w:rFonts w:ascii="Times New Roman"/>
                <w:color w:val="000000" w:themeColor="text1"/>
                <w:sz w:val="18"/>
                <w:szCs w:val="18"/>
                <w:vertAlign w:val="superscript"/>
                <w14:textFill>
                  <w14:solidFill>
                    <w14:schemeClr w14:val="tx1"/>
                  </w14:solidFill>
                </w14:textFill>
              </w:rPr>
              <w:t>d</w:t>
            </w:r>
            <w:r>
              <w:rPr>
                <w:rFonts w:hint="eastAsia" w:ascii="Times New Roman"/>
                <w:color w:val="000000" w:themeColor="text1"/>
                <w:sz w:val="18"/>
                <w:szCs w:val="18"/>
                <w14:textFill>
                  <w14:solidFill>
                    <w14:schemeClr w14:val="tx1"/>
                  </w14:solidFill>
                </w14:textFill>
              </w:rPr>
              <w:t>比重</w:t>
            </w:r>
          </w:p>
        </w:tc>
        <w:tc>
          <w:tcPr>
            <w:tcW w:w="709"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1843"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≥80%</w:t>
            </w:r>
          </w:p>
        </w:tc>
        <w:tc>
          <w:tcPr>
            <w:tcW w:w="1701"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≥60%</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8.</w:t>
            </w:r>
            <w:r>
              <w:rPr>
                <w:rFonts w:hint="eastAsia" w:ascii="Times New Roman"/>
                <w:color w:val="000000" w:themeColor="text1"/>
                <w:sz w:val="18"/>
                <w:szCs w:val="18"/>
                <w14:textFill>
                  <w14:solidFill>
                    <w14:schemeClr w14:val="tx1"/>
                  </w14:solidFill>
                </w14:textFill>
              </w:rPr>
              <w:t>可降解塑料材料使用</w:t>
            </w:r>
          </w:p>
        </w:tc>
        <w:tc>
          <w:tcPr>
            <w:tcW w:w="709" w:type="dxa"/>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参考</w:t>
            </w:r>
          </w:p>
        </w:tc>
        <w:tc>
          <w:tcPr>
            <w:tcW w:w="5238" w:type="dxa"/>
            <w:gridSpan w:val="3"/>
            <w:vAlign w:val="center"/>
          </w:tcPr>
          <w:p>
            <w:pPr>
              <w:pStyle w:val="23"/>
              <w:spacing w:line="230" w:lineRule="exact"/>
              <w:ind w:firstLine="0" w:firstLineChars="0"/>
              <w:jc w:val="center"/>
              <w:rPr>
                <w:rFonts w:ascii="Times New Roman"/>
                <w:sz w:val="18"/>
                <w:szCs w:val="18"/>
              </w:rPr>
            </w:pPr>
            <w:r>
              <w:rPr>
                <w:rFonts w:hint="eastAsia" w:ascii="Times New Roman"/>
                <w:sz w:val="18"/>
                <w:szCs w:val="18"/>
              </w:rPr>
              <w:t>物流包装使用可降解塑料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运营</w:t>
            </w:r>
          </w:p>
        </w:tc>
        <w:tc>
          <w:tcPr>
            <w:tcW w:w="695"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数字化运营</w:t>
            </w: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9.</w:t>
            </w:r>
            <w:r>
              <w:rPr>
                <w:rFonts w:hint="eastAsia" w:ascii="Times New Roman"/>
                <w:color w:val="000000" w:themeColor="text1"/>
                <w:sz w:val="18"/>
                <w:szCs w:val="18"/>
                <w14:textFill>
                  <w14:solidFill>
                    <w14:schemeClr w14:val="tx1"/>
                  </w14:solidFill>
                </w14:textFill>
              </w:rPr>
              <w:t>数字化和智能化技术</w:t>
            </w:r>
            <w:r>
              <w:rPr>
                <w:rFonts w:ascii="Times New Roman"/>
                <w:color w:val="000000" w:themeColor="text1"/>
                <w:sz w:val="18"/>
                <w:szCs w:val="18"/>
                <w:vertAlign w:val="superscript"/>
                <w14:textFill>
                  <w14:solidFill>
                    <w14:schemeClr w14:val="tx1"/>
                  </w14:solidFill>
                </w14:textFill>
              </w:rPr>
              <w:t>e</w:t>
            </w:r>
            <w:r>
              <w:rPr>
                <w:rFonts w:hint="eastAsia" w:ascii="Times New Roman"/>
                <w:color w:val="000000" w:themeColor="text1"/>
                <w:sz w:val="18"/>
                <w:szCs w:val="18"/>
                <w14:textFill>
                  <w14:solidFill>
                    <w14:schemeClr w14:val="tx1"/>
                  </w14:solidFill>
                </w14:textFill>
              </w:rPr>
              <w:t>应用</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843"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3项及以上</w:t>
            </w:r>
          </w:p>
        </w:tc>
        <w:tc>
          <w:tcPr>
            <w:tcW w:w="170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2项及以上</w:t>
            </w:r>
          </w:p>
        </w:tc>
        <w:tc>
          <w:tcPr>
            <w:tcW w:w="1694"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w:t>
            </w:r>
            <w:r>
              <w:rPr>
                <w:rFonts w:ascii="Times New Roman"/>
                <w:color w:val="000000" w:themeColor="text1"/>
                <w:sz w:val="18"/>
                <w:szCs w:val="18"/>
                <w14:textFill>
                  <w14:solidFill>
                    <w14:schemeClr w14:val="tx1"/>
                  </w14:solidFill>
                </w14:textFill>
              </w:rPr>
              <w:t>0.</w:t>
            </w:r>
            <w:r>
              <w:rPr>
                <w:rFonts w:hint="eastAsia" w:ascii="Times New Roman"/>
                <w:color w:val="000000" w:themeColor="text1"/>
                <w:sz w:val="18"/>
                <w:szCs w:val="18"/>
                <w14:textFill>
                  <w14:solidFill>
                    <w14:schemeClr w14:val="tx1"/>
                  </w14:solidFill>
                </w14:textFill>
              </w:rPr>
              <w:t>管理信息系统</w:t>
            </w:r>
            <w:r>
              <w:rPr>
                <w:rFonts w:ascii="Times New Roman"/>
                <w:color w:val="000000" w:themeColor="text1"/>
                <w:sz w:val="18"/>
                <w:szCs w:val="18"/>
                <w:vertAlign w:val="superscript"/>
                <w14:textFill>
                  <w14:solidFill>
                    <w14:schemeClr w14:val="tx1"/>
                  </w14:solidFill>
                </w14:textFill>
              </w:rPr>
              <w:t>f</w:t>
            </w:r>
            <w:r>
              <w:rPr>
                <w:rFonts w:hint="eastAsia" w:ascii="Times New Roman"/>
                <w:color w:val="000000" w:themeColor="text1"/>
                <w:sz w:val="18"/>
                <w:szCs w:val="18"/>
                <w14:textFill>
                  <w14:solidFill>
                    <w14:schemeClr w14:val="tx1"/>
                  </w14:solidFill>
                </w14:textFill>
              </w:rPr>
              <w:t>应用</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1843"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5项及以上，且应包括含T</w:t>
            </w:r>
            <w:r>
              <w:rPr>
                <w:rFonts w:ascii="Times New Roman"/>
                <w:color w:val="000000" w:themeColor="text1"/>
                <w:sz w:val="18"/>
                <w:szCs w:val="18"/>
                <w14:textFill>
                  <w14:solidFill>
                    <w14:schemeClr w14:val="tx1"/>
                  </w14:solidFill>
                </w14:textFill>
              </w:rPr>
              <w:t>MS</w:t>
            </w:r>
            <w:r>
              <w:rPr>
                <w:rFonts w:hint="eastAsia" w:ascii="Times New Roman"/>
                <w:color w:val="000000" w:themeColor="text1"/>
                <w:sz w:val="18"/>
                <w:szCs w:val="18"/>
                <w14:textFill>
                  <w14:solidFill>
                    <w14:schemeClr w14:val="tx1"/>
                  </w14:solidFill>
                </w14:textFill>
              </w:rPr>
              <w:t>和W</w:t>
            </w:r>
            <w:r>
              <w:rPr>
                <w:rFonts w:ascii="Times New Roman"/>
                <w:color w:val="000000" w:themeColor="text1"/>
                <w:sz w:val="18"/>
                <w:szCs w:val="18"/>
                <w14:textFill>
                  <w14:solidFill>
                    <w14:schemeClr w14:val="tx1"/>
                  </w14:solidFill>
                </w14:textFill>
              </w:rPr>
              <w:t>MS</w:t>
            </w:r>
          </w:p>
        </w:tc>
        <w:tc>
          <w:tcPr>
            <w:tcW w:w="170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4项及以上，且应包括T</w:t>
            </w:r>
            <w:r>
              <w:rPr>
                <w:rFonts w:ascii="Times New Roman"/>
                <w:color w:val="000000" w:themeColor="text1"/>
                <w:sz w:val="18"/>
                <w:szCs w:val="18"/>
                <w14:textFill>
                  <w14:solidFill>
                    <w14:schemeClr w14:val="tx1"/>
                  </w14:solidFill>
                </w14:textFill>
              </w:rPr>
              <w:t>MS</w:t>
            </w:r>
            <w:r>
              <w:rPr>
                <w:rFonts w:hint="eastAsia" w:ascii="Times New Roman"/>
                <w:color w:val="000000" w:themeColor="text1"/>
                <w:sz w:val="18"/>
                <w:szCs w:val="18"/>
                <w14:textFill>
                  <w14:solidFill>
                    <w14:schemeClr w14:val="tx1"/>
                  </w14:solidFill>
                </w14:textFill>
              </w:rPr>
              <w:t>和W</w:t>
            </w:r>
            <w:r>
              <w:rPr>
                <w:rFonts w:ascii="Times New Roman"/>
                <w:color w:val="000000" w:themeColor="text1"/>
                <w:sz w:val="18"/>
                <w:szCs w:val="18"/>
                <w14:textFill>
                  <w14:solidFill>
                    <w14:schemeClr w14:val="tx1"/>
                  </w14:solidFill>
                </w14:textFill>
              </w:rPr>
              <w:t>MS</w:t>
            </w:r>
          </w:p>
        </w:tc>
        <w:tc>
          <w:tcPr>
            <w:tcW w:w="1694" w:type="dxa"/>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3项及以上，且应包括T</w:t>
            </w:r>
            <w:r>
              <w:rPr>
                <w:rFonts w:ascii="Times New Roman"/>
                <w:color w:val="000000" w:themeColor="text1"/>
                <w:sz w:val="18"/>
                <w:szCs w:val="18"/>
                <w14:textFill>
                  <w14:solidFill>
                    <w14:schemeClr w14:val="tx1"/>
                  </w14:solidFill>
                </w14:textFill>
              </w:rPr>
              <w:t>MS</w:t>
            </w:r>
            <w:r>
              <w:rPr>
                <w:rFonts w:hint="eastAsia" w:ascii="Times New Roman"/>
                <w:color w:val="000000" w:themeColor="text1"/>
                <w:sz w:val="18"/>
                <w:szCs w:val="18"/>
                <w14:textFill>
                  <w14:solidFill>
                    <w14:schemeClr w14:val="tx1"/>
                  </w14:solidFill>
                </w14:textFill>
              </w:rPr>
              <w:t>和W</w:t>
            </w:r>
            <w:r>
              <w:rPr>
                <w:rFonts w:ascii="Times New Roman"/>
                <w:color w:val="000000" w:themeColor="text1"/>
                <w:sz w:val="18"/>
                <w:szCs w:val="18"/>
                <w14:textFill>
                  <w14:solidFill>
                    <w14:schemeClr w14:val="tx1"/>
                  </w14:solidFill>
                </w14:textFill>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76"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95"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2126"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w:t>
            </w:r>
            <w:r>
              <w:rPr>
                <w:rFonts w:ascii="Times New Roman"/>
                <w:color w:val="000000" w:themeColor="text1"/>
                <w:sz w:val="18"/>
                <w:szCs w:val="18"/>
                <w14:textFill>
                  <w14:solidFill>
                    <w14:schemeClr w14:val="tx1"/>
                  </w14:solidFill>
                </w14:textFill>
              </w:rPr>
              <w:t>1.</w:t>
            </w:r>
            <w:r>
              <w:rPr>
                <w:rFonts w:hint="eastAsia" w:ascii="Times New Roman"/>
                <w:color w:val="000000" w:themeColor="text1"/>
                <w:sz w:val="18"/>
                <w:szCs w:val="18"/>
                <w14:textFill>
                  <w14:solidFill>
                    <w14:schemeClr w14:val="tx1"/>
                  </w14:solidFill>
                </w14:textFill>
              </w:rPr>
              <w:t>运营方案优化</w:t>
            </w:r>
          </w:p>
        </w:tc>
        <w:tc>
          <w:tcPr>
            <w:tcW w:w="709"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5238"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具有优化库区选址、库内布局、货位分配、运输及配送路径、库内设备调度或运输调度等能力一项及以上</w:t>
            </w:r>
          </w:p>
        </w:tc>
      </w:tr>
    </w:tbl>
    <w:p>
      <w:pPr>
        <w:widowControl/>
        <w:jc w:val="left"/>
        <w:rPr>
          <w:rFonts w:ascii="黑体" w:hAnsi="黑体" w:eastAsia="黑体"/>
          <w:color w:val="000000" w:themeColor="text1"/>
          <w:kern w:val="0"/>
          <w:szCs w:val="18"/>
          <w14:textFill>
            <w14:solidFill>
              <w14:schemeClr w14:val="tx1"/>
            </w14:solidFill>
          </w14:textFill>
        </w:rPr>
      </w:pPr>
      <w:r>
        <w:rPr>
          <w:rFonts w:ascii="黑体" w:hAnsi="黑体" w:eastAsia="黑体"/>
          <w:color w:val="000000" w:themeColor="text1"/>
          <w:szCs w:val="18"/>
          <w14:textFill>
            <w14:solidFill>
              <w14:schemeClr w14:val="tx1"/>
            </w14:solidFill>
          </w14:textFill>
        </w:rPr>
        <w:br w:type="page"/>
      </w:r>
    </w:p>
    <w:p>
      <w:pPr>
        <w:pStyle w:val="23"/>
        <w:spacing w:before="120" w:beforeLines="50" w:after="120" w:afterLines="50"/>
        <w:jc w:val="center"/>
        <w:rPr>
          <w:rFonts w:ascii="黑体" w:hAnsi="黑体" w:eastAsia="黑体"/>
          <w:color w:val="000000" w:themeColor="text1"/>
          <w:szCs w:val="18"/>
          <w14:textFill>
            <w14:solidFill>
              <w14:schemeClr w14:val="tx1"/>
            </w14:solidFill>
          </w14:textFill>
        </w:rPr>
      </w:pPr>
      <w:r>
        <w:rPr>
          <w:rFonts w:hint="eastAsia" w:ascii="黑体" w:hAnsi="黑体" w:eastAsia="黑体"/>
          <w:color w:val="000000" w:themeColor="text1"/>
          <w:szCs w:val="18"/>
          <w14:textFill>
            <w14:solidFill>
              <w14:schemeClr w14:val="tx1"/>
            </w14:solidFill>
          </w14:textFill>
        </w:rPr>
        <w:t>表 3（续）</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659"/>
        <w:gridCol w:w="1290"/>
        <w:gridCol w:w="992"/>
        <w:gridCol w:w="2552"/>
        <w:gridCol w:w="99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3539" w:type="dxa"/>
            <w:gridSpan w:val="4"/>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评估指标</w:t>
            </w:r>
          </w:p>
        </w:tc>
        <w:tc>
          <w:tcPr>
            <w:tcW w:w="5805"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一级指标</w:t>
            </w:r>
          </w:p>
        </w:tc>
        <w:tc>
          <w:tcPr>
            <w:tcW w:w="1949"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二级指标</w:t>
            </w:r>
          </w:p>
        </w:tc>
        <w:tc>
          <w:tcPr>
            <w:tcW w:w="992" w:type="dxa"/>
            <w:vAlign w:val="center"/>
          </w:tcPr>
          <w:p>
            <w:pPr>
              <w:pStyle w:val="23"/>
              <w:spacing w:line="230" w:lineRule="exact"/>
              <w:ind w:firstLine="0" w:firstLineChars="0"/>
              <w:jc w:val="center"/>
              <w:rPr>
                <w:rFonts w:hAnsi="宋体" w:cs="Segoe UI Emoji"/>
                <w:sz w:val="18"/>
                <w:szCs w:val="18"/>
              </w:rPr>
            </w:pPr>
            <w:r>
              <w:rPr>
                <w:rFonts w:hint="eastAsia" w:hAnsi="宋体" w:cs="Segoe UI Emoji"/>
                <w:sz w:val="18"/>
                <w:szCs w:val="18"/>
              </w:rPr>
              <w:t>指标类别</w:t>
            </w:r>
          </w:p>
        </w:tc>
        <w:tc>
          <w:tcPr>
            <w:tcW w:w="255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hAnsi="宋体" w:cs="Segoe UI Emoji"/>
                <w:sz w:val="18"/>
                <w:szCs w:val="18"/>
              </w:rPr>
              <w:t>三星</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hAnsi="宋体" w:cs="Segoe UI Emoji"/>
                <w:sz w:val="18"/>
                <w:szCs w:val="18"/>
              </w:rPr>
              <w:t>二星</w:t>
            </w:r>
          </w:p>
        </w:tc>
        <w:tc>
          <w:tcPr>
            <w:tcW w:w="226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hAnsi="宋体" w:cs="Segoe UI Emoji"/>
                <w:sz w:val="18"/>
                <w:szCs w:val="18"/>
              </w:rPr>
              <w:t>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运营</w:t>
            </w:r>
          </w:p>
        </w:tc>
        <w:tc>
          <w:tcPr>
            <w:tcW w:w="659"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运营模式与效率</w:t>
            </w:r>
          </w:p>
        </w:tc>
        <w:tc>
          <w:tcPr>
            <w:tcW w:w="1290"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w:t>
            </w:r>
            <w:r>
              <w:rPr>
                <w:rFonts w:ascii="Times New Roman"/>
                <w:color w:val="000000" w:themeColor="text1"/>
                <w:sz w:val="18"/>
                <w:szCs w:val="18"/>
                <w14:textFill>
                  <w14:solidFill>
                    <w14:schemeClr w14:val="tx1"/>
                  </w14:solidFill>
                </w14:textFill>
              </w:rPr>
              <w:t>2.</w:t>
            </w:r>
            <w:r>
              <w:rPr>
                <w:rFonts w:hint="eastAsia" w:ascii="Times New Roman"/>
                <w:color w:val="000000" w:themeColor="text1"/>
                <w:sz w:val="18"/>
                <w:szCs w:val="18"/>
                <w14:textFill>
                  <w14:solidFill>
                    <w14:schemeClr w14:val="tx1"/>
                  </w14:solidFill>
                </w14:textFill>
              </w:rPr>
              <w:t>物流业务组织模式</w:t>
            </w:r>
            <w:r>
              <w:rPr>
                <w:rFonts w:ascii="Times New Roman"/>
                <w:color w:val="000000" w:themeColor="text1"/>
                <w:sz w:val="18"/>
                <w:szCs w:val="18"/>
                <w:vertAlign w:val="superscript"/>
                <w14:textFill>
                  <w14:solidFill>
                    <w14:schemeClr w14:val="tx1"/>
                  </w14:solidFill>
                </w14:textFill>
              </w:rPr>
              <w:t>g</w:t>
            </w:r>
            <w:r>
              <w:rPr>
                <w:rFonts w:hint="eastAsia" w:ascii="Times New Roman"/>
                <w:color w:val="000000" w:themeColor="text1"/>
                <w:sz w:val="18"/>
                <w:szCs w:val="18"/>
                <w14:textFill>
                  <w14:solidFill>
                    <w14:schemeClr w14:val="tx1"/>
                  </w14:solidFill>
                </w14:textFill>
              </w:rPr>
              <w:t>应用</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3544"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2项及以上</w:t>
            </w:r>
          </w:p>
        </w:tc>
        <w:tc>
          <w:tcPr>
            <w:tcW w:w="226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360"/>
              <w:jc w:val="left"/>
              <w:rPr>
                <w:rFonts w:ascii="Times New Roman"/>
                <w:color w:val="000000" w:themeColor="text1"/>
                <w:sz w:val="18"/>
                <w:szCs w:val="18"/>
                <w14:textFill>
                  <w14:solidFill>
                    <w14:schemeClr w14:val="tx1"/>
                  </w14:solidFill>
                </w14:textFill>
              </w:rPr>
            </w:pPr>
          </w:p>
        </w:tc>
        <w:tc>
          <w:tcPr>
            <w:tcW w:w="659"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90"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w:t>
            </w:r>
            <w:r>
              <w:rPr>
                <w:rFonts w:ascii="Times New Roman"/>
                <w:color w:val="000000" w:themeColor="text1"/>
                <w:sz w:val="18"/>
                <w:szCs w:val="18"/>
                <w14:textFill>
                  <w14:solidFill>
                    <w14:schemeClr w14:val="tx1"/>
                  </w14:solidFill>
                </w14:textFill>
              </w:rPr>
              <w:t>3.</w:t>
            </w:r>
            <w:r>
              <w:rPr>
                <w:rFonts w:hint="eastAsia" w:ascii="Times New Roman"/>
                <w:color w:val="000000" w:themeColor="text1"/>
                <w:sz w:val="18"/>
                <w:szCs w:val="18"/>
                <w14:textFill>
                  <w14:solidFill>
                    <w14:schemeClr w14:val="tx1"/>
                  </w14:solidFill>
                </w14:textFill>
              </w:rPr>
              <w:t>铁路和水路货运周转量比重</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255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w:t>
            </w:r>
          </w:p>
        </w:tc>
        <w:tc>
          <w:tcPr>
            <w:tcW w:w="226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360"/>
              <w:jc w:val="left"/>
              <w:rPr>
                <w:rFonts w:ascii="Times New Roman"/>
                <w:color w:val="000000" w:themeColor="text1"/>
                <w:sz w:val="18"/>
                <w:szCs w:val="18"/>
                <w14:textFill>
                  <w14:solidFill>
                    <w14:schemeClr w14:val="tx1"/>
                  </w14:solidFill>
                </w14:textFill>
              </w:rPr>
            </w:pPr>
          </w:p>
        </w:tc>
        <w:tc>
          <w:tcPr>
            <w:tcW w:w="659"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90"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sz w:val="18"/>
                <w:szCs w:val="18"/>
              </w:rPr>
              <w:t>2</w:t>
            </w:r>
            <w:r>
              <w:rPr>
                <w:rFonts w:ascii="Times New Roman"/>
                <w:sz w:val="18"/>
                <w:szCs w:val="18"/>
              </w:rPr>
              <w:t>4.</w:t>
            </w:r>
            <w:r>
              <w:rPr>
                <w:rFonts w:hint="eastAsia" w:ascii="Times New Roman"/>
                <w:sz w:val="18"/>
                <w:szCs w:val="18"/>
              </w:rPr>
              <w:t>实载率</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5805"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满足货运汽车≥60%，货运火车＞50%，载货河运船舶≥60%，载货海运船舶≥70%或货运飞机＞50%一项及以上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360"/>
              <w:jc w:val="left"/>
              <w:rPr>
                <w:rFonts w:ascii="Times New Roman"/>
                <w:color w:val="000000" w:themeColor="text1"/>
                <w:sz w:val="18"/>
                <w:szCs w:val="18"/>
                <w14:textFill>
                  <w14:solidFill>
                    <w14:schemeClr w14:val="tx1"/>
                  </w14:solidFill>
                </w14:textFill>
              </w:rPr>
            </w:pPr>
          </w:p>
        </w:tc>
        <w:tc>
          <w:tcPr>
            <w:tcW w:w="659"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90"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w:t>
            </w:r>
            <w:r>
              <w:rPr>
                <w:rFonts w:ascii="Times New Roman"/>
                <w:color w:val="000000" w:themeColor="text1"/>
                <w:sz w:val="18"/>
                <w:szCs w:val="18"/>
                <w14:textFill>
                  <w14:solidFill>
                    <w14:schemeClr w14:val="tx1"/>
                  </w14:solidFill>
                </w14:textFill>
              </w:rPr>
              <w:t>5.</w:t>
            </w:r>
            <w:r>
              <w:rPr>
                <w:rFonts w:hint="eastAsia" w:ascii="Times New Roman"/>
                <w:color w:val="000000" w:themeColor="text1"/>
                <w:sz w:val="18"/>
                <w:szCs w:val="18"/>
                <w14:textFill>
                  <w14:solidFill>
                    <w14:schemeClr w14:val="tx1"/>
                  </w14:solidFill>
                </w14:textFill>
              </w:rPr>
              <w:t>库存周转次数</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55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≥10</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w:t>
            </w:r>
          </w:p>
        </w:tc>
        <w:tc>
          <w:tcPr>
            <w:tcW w:w="226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59"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资源绿色化</w:t>
            </w:r>
          </w:p>
        </w:tc>
        <w:tc>
          <w:tcPr>
            <w:tcW w:w="1290"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w:t>
            </w:r>
            <w:r>
              <w:rPr>
                <w:rFonts w:ascii="Times New Roman"/>
                <w:color w:val="000000" w:themeColor="text1"/>
                <w:sz w:val="18"/>
                <w:szCs w:val="18"/>
                <w14:textFill>
                  <w14:solidFill>
                    <w14:schemeClr w14:val="tx1"/>
                  </w14:solidFill>
                </w14:textFill>
              </w:rPr>
              <w:t>6.</w:t>
            </w:r>
            <w:r>
              <w:rPr>
                <w:rFonts w:hint="eastAsia" w:ascii="Times New Roman"/>
                <w:color w:val="000000" w:themeColor="text1"/>
                <w:sz w:val="18"/>
                <w:szCs w:val="18"/>
                <w14:textFill>
                  <w14:solidFill>
                    <w14:schemeClr w14:val="tx1"/>
                  </w14:solidFill>
                </w14:textFill>
              </w:rPr>
              <w:t>使用可再生能源</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参考</w:t>
            </w:r>
          </w:p>
        </w:tc>
        <w:tc>
          <w:tcPr>
            <w:tcW w:w="5805"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企业运营设施产生的可再生能源全部或部分自用，或通过绿色电力交易或绿证交易等市场化方式使用可再生能源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659"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290" w:type="dxa"/>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2</w:t>
            </w:r>
            <w:r>
              <w:rPr>
                <w:rFonts w:ascii="Times New Roman"/>
                <w:color w:val="000000" w:themeColor="text1"/>
                <w:sz w:val="18"/>
                <w:szCs w:val="18"/>
                <w14:textFill>
                  <w14:solidFill>
                    <w14:schemeClr w14:val="tx1"/>
                  </w14:solidFill>
                </w14:textFill>
              </w:rPr>
              <w:t>7.</w:t>
            </w:r>
            <w:r>
              <w:rPr>
                <w:rFonts w:hint="eastAsia" w:ascii="Times New Roman"/>
                <w:color w:val="000000" w:themeColor="text1"/>
                <w:sz w:val="18"/>
                <w:szCs w:val="18"/>
                <w14:textFill>
                  <w14:solidFill>
                    <w14:schemeClr w14:val="tx1"/>
                  </w14:solidFill>
                </w14:textFill>
              </w:rPr>
              <w:t>物流包装减量化</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5805"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采用减少二次包装</w:t>
            </w:r>
            <w:r>
              <w:rPr>
                <w:rFonts w:hint="eastAsia" w:ascii="Times New Roman"/>
                <w:color w:val="000000" w:themeColor="text1"/>
                <w:sz w:val="18"/>
                <w:szCs w:val="18"/>
                <w:vertAlign w:val="superscript"/>
                <w14:textFill>
                  <w14:solidFill>
                    <w14:schemeClr w14:val="tx1"/>
                  </w14:solidFill>
                </w14:textFill>
              </w:rPr>
              <w:t>h</w:t>
            </w:r>
            <w:r>
              <w:rPr>
                <w:rFonts w:hint="eastAsia" w:ascii="Times New Roman"/>
                <w:color w:val="000000" w:themeColor="text1"/>
                <w:sz w:val="18"/>
                <w:szCs w:val="18"/>
                <w14:textFill>
                  <w14:solidFill>
                    <w14:schemeClr w14:val="tx1"/>
                  </w14:solidFill>
                </w14:textFill>
              </w:rPr>
              <w:t>、智能算法或减量化包装替代等举措一项及以上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restart"/>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bookmarkStart w:id="56" w:name="_Hlk120110137"/>
            <w:r>
              <w:rPr>
                <w:rFonts w:hint="eastAsia" w:ascii="Times New Roman"/>
                <w:color w:val="000000" w:themeColor="text1"/>
                <w:sz w:val="18"/>
                <w:szCs w:val="18"/>
                <w14:textFill>
                  <w14:solidFill>
                    <w14:schemeClr w14:val="tx1"/>
                  </w14:solidFill>
                </w14:textFill>
              </w:rPr>
              <w:t>绿色信息披露与生态共建</w:t>
            </w:r>
            <w:bookmarkEnd w:id="56"/>
          </w:p>
        </w:tc>
        <w:tc>
          <w:tcPr>
            <w:tcW w:w="1949" w:type="dxa"/>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28.</w:t>
            </w:r>
            <w:bookmarkStart w:id="57" w:name="_Hlk120110172"/>
            <w:r>
              <w:rPr>
                <w:rFonts w:hint="eastAsia" w:ascii="Times New Roman"/>
                <w:color w:val="000000" w:themeColor="text1"/>
                <w:sz w:val="18"/>
                <w:szCs w:val="18"/>
                <w14:textFill>
                  <w14:solidFill>
                    <w14:schemeClr w14:val="tx1"/>
                  </w14:solidFill>
                </w14:textFill>
              </w:rPr>
              <w:t>核算和报告节能降碳信息</w:t>
            </w:r>
            <w:bookmarkEnd w:id="57"/>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5805" w:type="dxa"/>
            <w:gridSpan w:val="3"/>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有能源消耗清单和节能降碳举措，统计和核算企业或项目层级的能源消耗总量</w:t>
            </w:r>
            <w:r>
              <w:rPr>
                <w:rFonts w:ascii="Times New Roman"/>
                <w:color w:val="000000" w:themeColor="text1"/>
                <w:sz w:val="18"/>
                <w:szCs w:val="18"/>
                <w:vertAlign w:val="superscript"/>
                <w14:textFill>
                  <w14:solidFill>
                    <w14:schemeClr w14:val="tx1"/>
                  </w14:solidFill>
                </w14:textFill>
              </w:rPr>
              <w:t>i</w:t>
            </w:r>
            <w:r>
              <w:rPr>
                <w:rFonts w:hint="eastAsia" w:ascii="Times New Roman"/>
                <w:color w:val="000000" w:themeColor="text1"/>
                <w:sz w:val="18"/>
                <w:szCs w:val="18"/>
                <w14:textFill>
                  <w14:solidFill>
                    <w14:schemeClr w14:val="tx1"/>
                  </w14:solidFill>
                </w14:textFill>
              </w:rPr>
              <w:t>和强度</w:t>
            </w:r>
            <w:r>
              <w:rPr>
                <w:rFonts w:ascii="Times New Roman"/>
                <w:color w:val="000000" w:themeColor="text1"/>
                <w:sz w:val="18"/>
                <w:szCs w:val="18"/>
                <w:vertAlign w:val="superscript"/>
                <w14:textFill>
                  <w14:solidFill>
                    <w14:schemeClr w14:val="tx1"/>
                  </w14:solidFill>
                </w14:textFill>
              </w:rPr>
              <w:t>j</w:t>
            </w:r>
            <w:r>
              <w:rPr>
                <w:rFonts w:hint="eastAsia" w:ascii="Times New Roman"/>
                <w:color w:val="000000" w:themeColor="text1"/>
                <w:sz w:val="18"/>
                <w:szCs w:val="18"/>
                <w14:textFill>
                  <w14:solidFill>
                    <w14:schemeClr w14:val="tx1"/>
                  </w14:solidFill>
                </w14:textFill>
              </w:rPr>
              <w:t>，及二氧化碳排放总量</w:t>
            </w:r>
            <w:r>
              <w:rPr>
                <w:rFonts w:ascii="Times New Roman"/>
                <w:color w:val="000000" w:themeColor="text1"/>
                <w:sz w:val="18"/>
                <w:szCs w:val="18"/>
                <w:vertAlign w:val="superscript"/>
                <w14:textFill>
                  <w14:solidFill>
                    <w14:schemeClr w14:val="tx1"/>
                  </w14:solidFill>
                </w14:textFill>
              </w:rPr>
              <w:t>k</w:t>
            </w:r>
            <w:r>
              <w:rPr>
                <w:rFonts w:hint="eastAsia" w:ascii="Times New Roman"/>
                <w:color w:val="000000" w:themeColor="text1"/>
                <w:sz w:val="18"/>
                <w:szCs w:val="18"/>
                <w14:textFill>
                  <w14:solidFill>
                    <w14:schemeClr w14:val="tx1"/>
                  </w14:solidFill>
                </w14:textFill>
              </w:rPr>
              <w:t>或强度</w:t>
            </w:r>
            <w:r>
              <w:rPr>
                <w:rFonts w:ascii="Times New Roman"/>
                <w:color w:val="000000" w:themeColor="text1"/>
                <w:sz w:val="18"/>
                <w:szCs w:val="18"/>
                <w:vertAlign w:val="superscript"/>
                <w14:textFill>
                  <w14:solidFill>
                    <w14:schemeClr w14:val="tx1"/>
                  </w14:solidFill>
                </w14:textFill>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949" w:type="dxa"/>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bookmarkStart w:id="58" w:name="_Hlk119337851"/>
            <w:r>
              <w:rPr>
                <w:rFonts w:hint="eastAsia" w:ascii="Times New Roman"/>
                <w:color w:val="000000" w:themeColor="text1"/>
                <w:sz w:val="18"/>
                <w:szCs w:val="18"/>
                <w14:textFill>
                  <w14:solidFill>
                    <w14:schemeClr w14:val="tx1"/>
                  </w14:solidFill>
                </w14:textFill>
              </w:rPr>
              <w:t>2</w:t>
            </w:r>
            <w:r>
              <w:rPr>
                <w:rFonts w:ascii="Times New Roman"/>
                <w:color w:val="000000" w:themeColor="text1"/>
                <w:sz w:val="18"/>
                <w:szCs w:val="18"/>
                <w14:textFill>
                  <w14:solidFill>
                    <w14:schemeClr w14:val="tx1"/>
                  </w14:solidFill>
                </w14:textFill>
              </w:rPr>
              <w:t>9.</w:t>
            </w:r>
            <w:r>
              <w:rPr>
                <w:rFonts w:hint="eastAsia" w:ascii="Times New Roman"/>
                <w:color w:val="000000" w:themeColor="text1"/>
                <w:sz w:val="18"/>
                <w:szCs w:val="18"/>
                <w14:textFill>
                  <w14:solidFill>
                    <w14:schemeClr w14:val="tx1"/>
                  </w14:solidFill>
                </w14:textFill>
              </w:rPr>
              <w:t>社会责任履行情况</w:t>
            </w:r>
            <w:bookmarkEnd w:id="58"/>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255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定期发布含绿色物流的报告，且报告公开可获得</w:t>
            </w:r>
          </w:p>
        </w:tc>
        <w:tc>
          <w:tcPr>
            <w:tcW w:w="3253"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公开宣传自身绿色物流实践行动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598" w:type="dxa"/>
            <w:vMerge w:val="continue"/>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p>
        </w:tc>
        <w:tc>
          <w:tcPr>
            <w:tcW w:w="1949" w:type="dxa"/>
            <w:gridSpan w:val="2"/>
            <w:vAlign w:val="center"/>
          </w:tcPr>
          <w:p>
            <w:pPr>
              <w:pStyle w:val="23"/>
              <w:spacing w:line="230" w:lineRule="exact"/>
              <w:ind w:firstLine="0" w:firstLineChars="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30.</w:t>
            </w:r>
            <w:r>
              <w:rPr>
                <w:rFonts w:hint="eastAsia" w:ascii="Times New Roman"/>
                <w:color w:val="000000" w:themeColor="text1"/>
                <w:sz w:val="18"/>
                <w:szCs w:val="18"/>
                <w14:textFill>
                  <w14:solidFill>
                    <w14:schemeClr w14:val="tx1"/>
                  </w14:solidFill>
                </w14:textFill>
              </w:rPr>
              <w:t>绿色生态共建</w:t>
            </w:r>
          </w:p>
        </w:tc>
        <w:tc>
          <w:tcPr>
            <w:tcW w:w="992"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必备</w:t>
            </w:r>
          </w:p>
        </w:tc>
        <w:tc>
          <w:tcPr>
            <w:tcW w:w="3544" w:type="dxa"/>
            <w:gridSpan w:val="2"/>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与合作商建立绿色物流沟通协作机制，了解合作商绿色物流服务需求和举措，有支持合作商开展绿色物流的举措</w:t>
            </w:r>
          </w:p>
        </w:tc>
        <w:tc>
          <w:tcPr>
            <w:tcW w:w="2261" w:type="dxa"/>
            <w:vAlign w:val="center"/>
          </w:tcPr>
          <w:p>
            <w:pPr>
              <w:pStyle w:val="23"/>
              <w:spacing w:line="230" w:lineRule="exact"/>
              <w:ind w:firstLine="0" w:firstLineChars="0"/>
              <w:jc w:val="center"/>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了解合作商绿色物流服务需求和举措，有支持合作商开展绿色物流的举措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9344" w:type="dxa"/>
            <w:gridSpan w:val="7"/>
          </w:tcPr>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a </w:t>
            </w:r>
            <w:r>
              <w:rPr>
                <w:rFonts w:hint="eastAsia" w:ascii="Times New Roman"/>
                <w:color w:val="000000" w:themeColor="text1"/>
                <w:sz w:val="18"/>
                <w:szCs w:val="18"/>
                <w14:textFill>
                  <w14:solidFill>
                    <w14:schemeClr w14:val="tx1"/>
                  </w14:solidFill>
                </w14:textFill>
              </w:rPr>
              <w:t>立体库是指有装卸站台、净高大于9</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m或能安装高度7</w:t>
            </w:r>
            <w:r>
              <w:rPr>
                <w:rFonts w:ascii="Times New Roman"/>
                <w:color w:val="000000" w:themeColor="text1"/>
                <w:sz w:val="18"/>
                <w:szCs w:val="18"/>
                <w14:textFill>
                  <w14:solidFill>
                    <w14:schemeClr w14:val="tx1"/>
                  </w14:solidFill>
                </w14:textFill>
              </w:rPr>
              <w:t xml:space="preserve"> m</w:t>
            </w:r>
            <w:r>
              <w:rPr>
                <w:rFonts w:hint="eastAsia" w:ascii="Times New Roman"/>
                <w:color w:val="000000" w:themeColor="text1"/>
                <w:sz w:val="18"/>
                <w:szCs w:val="18"/>
                <w14:textFill>
                  <w14:solidFill>
                    <w14:schemeClr w14:val="tx1"/>
                  </w14:solidFill>
                </w14:textFill>
              </w:rPr>
              <w:t>以上货架的仓库。</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b </w:t>
            </w:r>
            <w:r>
              <w:rPr>
                <w:rFonts w:hint="eastAsia" w:ascii="Times New Roman"/>
                <w:color w:val="000000" w:themeColor="text1"/>
                <w:sz w:val="18"/>
                <w:szCs w:val="18"/>
                <w14:textFill>
                  <w14:solidFill>
                    <w14:schemeClr w14:val="tx1"/>
                  </w14:solidFill>
                </w14:textFill>
              </w:rPr>
              <w:t>新能源叉车是指采用非常规能源，以电力、氢能源作为动力来源的叉车。</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c </w:t>
            </w:r>
            <w:r>
              <w:rPr>
                <w:rFonts w:hint="eastAsia" w:ascii="Times New Roman"/>
                <w:color w:val="000000" w:themeColor="text1"/>
                <w:sz w:val="18"/>
                <w:szCs w:val="18"/>
                <w14:textFill>
                  <w14:solidFill>
                    <w14:schemeClr w14:val="tx1"/>
                  </w14:solidFill>
                </w14:textFill>
              </w:rPr>
              <w:t>标准托盘是指平面尺寸满足</w:t>
            </w:r>
            <w:r>
              <w:rPr>
                <w:rFonts w:ascii="Times New Roman"/>
                <w:color w:val="000000" w:themeColor="text1"/>
                <w:sz w:val="18"/>
                <w:szCs w:val="18"/>
                <w14:textFill>
                  <w14:solidFill>
                    <w14:schemeClr w14:val="tx1"/>
                  </w14:solidFill>
                </w14:textFill>
              </w:rPr>
              <w:t>GB/T 2934</w:t>
            </w:r>
            <w:r>
              <w:rPr>
                <w:rFonts w:hint="eastAsia" w:ascii="Times New Roman"/>
                <w:color w:val="000000" w:themeColor="text1"/>
                <w:sz w:val="18"/>
                <w:szCs w:val="18"/>
                <w14:textFill>
                  <w14:solidFill>
                    <w14:schemeClr w14:val="tx1"/>
                  </w14:solidFill>
                </w14:textFill>
              </w:rPr>
              <w:t>要求的托盘。</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d </w:t>
            </w:r>
            <w:r>
              <w:rPr>
                <w:rFonts w:hint="eastAsia" w:ascii="Times New Roman"/>
                <w:color w:val="000000" w:themeColor="text1"/>
                <w:sz w:val="18"/>
                <w:szCs w:val="18"/>
                <w14:textFill>
                  <w14:solidFill>
                    <w14:schemeClr w14:val="tx1"/>
                  </w14:solidFill>
                </w14:textFill>
              </w:rPr>
              <w:t>标准周转箱是指运输包装模数满足GB/T 4892要求的周转箱。</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黑体" w:hAnsi="黑体" w:eastAsia="黑体"/>
                <w:color w:val="000000" w:themeColor="text1"/>
                <w:sz w:val="18"/>
                <w:szCs w:val="18"/>
                <w:vertAlign w:val="superscript"/>
                <w14:textFill>
                  <w14:solidFill>
                    <w14:schemeClr w14:val="tx1"/>
                  </w14:solidFill>
                </w14:textFill>
              </w:rPr>
              <w:t>e</w:t>
            </w:r>
            <w:r>
              <w:rPr>
                <w:rFonts w:hint="eastAsia" w:ascii="黑体" w:hAnsi="黑体" w:eastAsia="黑体"/>
                <w:color w:val="000000" w:themeColor="text1"/>
                <w:sz w:val="18"/>
                <w:szCs w:val="18"/>
                <w:vertAlign w:val="superscript"/>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数字化和智能化技术包括自动识别标识技术(含条码识别技术、生物识别技术、图像识别技术或射频识别技术RFID等</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、智能照明控制技术(含分时、分区自动感应，按需智能开关和调节技术等</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、人工智能技术(含大数据、计算机视觉、语音识别、自然语言处理或机器学习等</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、环境感知技术(重量、体积、温度、油量或电量等智能监测技术）、智能缴费技术(ETC</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等。</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黑体" w:hAnsi="黑体" w:eastAsia="黑体"/>
                <w:color w:val="000000" w:themeColor="text1"/>
                <w:sz w:val="18"/>
                <w:szCs w:val="18"/>
                <w:vertAlign w:val="superscript"/>
                <w14:textFill>
                  <w14:solidFill>
                    <w14:schemeClr w14:val="tx1"/>
                  </w14:solidFill>
                </w14:textFill>
              </w:rPr>
              <w:t xml:space="preserve">f </w:t>
            </w:r>
            <w:r>
              <w:rPr>
                <w:rFonts w:hint="eastAsia" w:ascii="Times New Roman"/>
                <w:color w:val="000000" w:themeColor="text1"/>
                <w:sz w:val="18"/>
                <w:szCs w:val="18"/>
                <w14:textFill>
                  <w14:solidFill>
                    <w14:schemeClr w14:val="tx1"/>
                  </w14:solidFill>
                </w14:textFill>
              </w:rPr>
              <w:t>管理信息系统包括企业管理软件(ERP</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、能源管理系统(EMS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、订单管理系统(OMS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、仓库管理系统(WMS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、运输管理系统(TMS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、电子订货系统(EOS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、自动存取系统(AS/RS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、办公自动化系统(OAS</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等。</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g</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物流业务组织模式包括逆向物流、多式联运、甩挂运输、统仓统配、云仓、共同配送、集中配送、全天候配送等。</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vertAlign w:val="superscript"/>
                <w14:textFill>
                  <w14:solidFill>
                    <w14:schemeClr w14:val="tx1"/>
                  </w14:solidFill>
                </w14:textFill>
              </w:rPr>
              <w:t>h</w:t>
            </w:r>
            <w:r>
              <w:rPr>
                <w:rFonts w:ascii="Times New Roman"/>
                <w:color w:val="000000" w:themeColor="text1"/>
                <w:sz w:val="18"/>
                <w:szCs w:val="18"/>
                <w:vertAlign w:val="superscript"/>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二次包装包括物流作业过程中的货物包装拆分和重新包装。</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i</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能源消耗总量是指企业或项目在一定时期内消耗的各种能源的总和，单位为吨标准煤（tce），各种能源折标准煤系数见附录B</w:t>
            </w:r>
            <w:r>
              <w:rPr>
                <w:rFonts w:ascii="Times New Roman"/>
                <w:color w:val="000000" w:themeColor="text1"/>
                <w:sz w:val="18"/>
                <w:szCs w:val="18"/>
                <w14:textFill>
                  <w14:solidFill>
                    <w14:schemeClr w14:val="tx1"/>
                  </w14:solidFill>
                </w14:textFill>
              </w:rPr>
              <w:t>.1</w:t>
            </w:r>
            <w:r>
              <w:rPr>
                <w:rFonts w:hint="eastAsia" w:ascii="Times New Roman"/>
                <w:color w:val="000000" w:themeColor="text1"/>
                <w:sz w:val="18"/>
                <w:szCs w:val="18"/>
                <w14:textFill>
                  <w14:solidFill>
                    <w14:schemeClr w14:val="tx1"/>
                  </w14:solidFill>
                </w14:textFill>
              </w:rPr>
              <w:t>。</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 xml:space="preserve">j </w:t>
            </w:r>
            <w:r>
              <w:rPr>
                <w:rFonts w:hint="eastAsia" w:ascii="Times New Roman"/>
                <w:color w:val="000000" w:themeColor="text1"/>
                <w:sz w:val="18"/>
                <w:szCs w:val="18"/>
                <w14:textFill>
                  <w14:solidFill>
                    <w14:schemeClr w14:val="tx1"/>
                  </w14:solidFill>
                </w14:textFill>
              </w:rPr>
              <w:t>能源消耗强度是指企业或项目在一定时期内单位营业收入的能源消耗量，单位为吨标准煤/万元（tce/万元）；或是单位业务量的能源消耗量，单位为吨标准煤/百万吨公里（tce/</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t·k</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）或吨标准煤/万吨吞吐量（tce/10</w:t>
            </w:r>
            <w:r>
              <w:rPr>
                <w:rFonts w:ascii="Times New Roman"/>
                <w:color w:val="000000" w:themeColor="text1"/>
                <w:sz w:val="18"/>
                <w:szCs w:val="18"/>
                <w14:textFill>
                  <w14:solidFill>
                    <w14:schemeClr w14:val="tx1"/>
                  </w14:solidFill>
                </w14:textFill>
              </w:rPr>
              <w:t>kt</w:t>
            </w:r>
            <w:r>
              <w:rPr>
                <w:rFonts w:hint="eastAsia" w:ascii="Times New Roman"/>
                <w:color w:val="000000" w:themeColor="text1"/>
                <w:sz w:val="18"/>
                <w:szCs w:val="18"/>
                <w14:textFill>
                  <w14:solidFill>
                    <w14:schemeClr w14:val="tx1"/>
                  </w14:solidFill>
                </w14:textFill>
              </w:rPr>
              <w:t>）。</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k</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二氧化碳排放总量是指企业或项目在一定时期内直接产生和与能源相关间接产生的二氧化碳排放量总量，单位为吨（t），各种能源碳排放因子见附录B</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2。</w:t>
            </w:r>
          </w:p>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vertAlign w:val="superscript"/>
                <w14:textFill>
                  <w14:solidFill>
                    <w14:schemeClr w14:val="tx1"/>
                  </w14:solidFill>
                </w14:textFill>
              </w:rPr>
              <w:t>l</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二氧化碳排放强度是指企业或项目在一定时期内单位营业收入的二氧化碳排放量，单位为吨/万元（t/万元）；或是单位业务量的二氧化碳排放量，单位为吨/百万吨公里（t/</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t·k</w:t>
            </w:r>
            <w:r>
              <w:rPr>
                <w:rFonts w:ascii="Times New Roman"/>
                <w:color w:val="000000" w:themeColor="text1"/>
                <w:sz w:val="18"/>
                <w:szCs w:val="18"/>
                <w14:textFill>
                  <w14:solidFill>
                    <w14:schemeClr w14:val="tx1"/>
                  </w14:solidFill>
                </w14:textFill>
              </w:rPr>
              <w:t>m)</w:t>
            </w:r>
            <w:r>
              <w:rPr>
                <w:rFonts w:hint="eastAsia" w:ascii="Times New Roman"/>
                <w:color w:val="000000" w:themeColor="text1"/>
                <w:sz w:val="18"/>
                <w:szCs w:val="18"/>
                <w14:textFill>
                  <w14:solidFill>
                    <w14:schemeClr w14:val="tx1"/>
                  </w14:solidFill>
                </w14:textFill>
              </w:rPr>
              <w:t>）或吨/万吨吞吐量（t/10</w:t>
            </w:r>
            <w:r>
              <w:rPr>
                <w:rFonts w:ascii="Times New Roman"/>
                <w:color w:val="000000" w:themeColor="text1"/>
                <w:sz w:val="18"/>
                <w:szCs w:val="18"/>
                <w14:textFill>
                  <w14:solidFill>
                    <w14:schemeClr w14:val="tx1"/>
                  </w14:solidFill>
                </w14:textFill>
              </w:rPr>
              <w:t>kt</w:t>
            </w:r>
            <w:r>
              <w:rPr>
                <w:rFonts w:hint="eastAsia" w:ascii="Times New Roman"/>
                <w:color w:val="000000" w:themeColor="text1"/>
                <w:sz w:val="18"/>
                <w:szCs w:val="18"/>
                <w14:textFill>
                  <w14:solidFill>
                    <w14:schemeClr w14:val="tx1"/>
                  </w14:solidFill>
                </w14:textFill>
              </w:rPr>
              <w:t>）。</w:t>
            </w:r>
          </w:p>
        </w:tc>
      </w:tr>
      <w:bookmarkEnd w:id="17"/>
      <w:bookmarkEnd w:id="53"/>
    </w:tbl>
    <w:p>
      <w:pPr>
        <w:pStyle w:val="28"/>
        <w:rPr>
          <w:vanish w:val="0"/>
        </w:rPr>
      </w:pPr>
      <w:bookmarkStart w:id="59" w:name="BookMark5"/>
    </w:p>
    <w:p>
      <w:pPr>
        <w:pStyle w:val="25"/>
        <w:spacing w:before="240" w:after="240"/>
      </w:pPr>
      <w:r>
        <w:rPr>
          <w:rFonts w:hint="eastAsia"/>
        </w:rPr>
        <w:t>评估指标计算方法</w:t>
      </w:r>
    </w:p>
    <w:p>
      <w:pPr>
        <w:widowControl/>
        <w:ind w:firstLine="420" w:firstLineChars="200"/>
        <w:jc w:val="left"/>
        <w:rPr>
          <w:rFonts w:ascii="宋体" w:hAnsi="Times New Roman"/>
          <w:kern w:val="0"/>
          <w:szCs w:val="20"/>
        </w:rPr>
      </w:pPr>
      <w:r>
        <w:rPr>
          <w:rFonts w:hint="eastAsia" w:ascii="Times New Roman"/>
        </w:rPr>
        <w:t>部分评估指标计算方法应按附录A。</w:t>
      </w:r>
      <w:r>
        <w:br w:type="page"/>
      </w:r>
    </w:p>
    <w:p>
      <w:pPr>
        <w:pStyle w:val="11"/>
        <w:ind w:firstLine="420"/>
      </w:pPr>
    </w:p>
    <w:p>
      <w:pPr>
        <w:pStyle w:val="29"/>
        <w:rPr>
          <w:vanish w:val="0"/>
        </w:rPr>
      </w:pPr>
    </w:p>
    <w:p>
      <w:pPr>
        <w:pStyle w:val="30"/>
        <w:spacing w:before="60" w:after="120"/>
      </w:pPr>
      <w:r>
        <w:br w:type="textWrapping"/>
      </w:r>
      <w:r>
        <w:rPr>
          <w:rFonts w:hint="eastAsia"/>
        </w:rPr>
        <w:t>（规范性）</w:t>
      </w:r>
      <w:r>
        <w:br w:type="textWrapping"/>
      </w:r>
      <w:r>
        <w:rPr>
          <w:rFonts w:hint="eastAsia"/>
        </w:rPr>
        <w:t>评估指标计算方法</w:t>
      </w:r>
    </w:p>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新能源</w:t>
      </w:r>
      <w:r>
        <w:rPr>
          <w:rFonts w:ascii="黑体" w:hAnsi="黑体" w:eastAsia="黑体"/>
          <w:color w:val="000000" w:themeColor="text1"/>
          <w14:textFill>
            <w14:solidFill>
              <w14:schemeClr w14:val="tx1"/>
            </w14:solidFill>
          </w14:textFill>
        </w:rPr>
        <w:t>叉车</w:t>
      </w:r>
      <w:r>
        <w:rPr>
          <w:rFonts w:hint="eastAsia" w:ascii="黑体" w:hAnsi="黑体" w:eastAsia="黑体"/>
          <w:color w:val="000000" w:themeColor="text1"/>
          <w14:textFill>
            <w14:solidFill>
              <w14:schemeClr w14:val="tx1"/>
            </w14:solidFill>
          </w14:textFill>
        </w:rPr>
        <w:t>比重</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考核期内，企业自有和租用新能源叉车</w:t>
      </w:r>
      <w:r>
        <w:rPr>
          <w:rFonts w:ascii="Times New Roman"/>
          <w:color w:val="000000" w:themeColor="text1"/>
          <w14:textFill>
            <w14:solidFill>
              <w14:schemeClr w14:val="tx1"/>
            </w14:solidFill>
          </w14:textFill>
        </w:rPr>
        <w:t>数量</w:t>
      </w:r>
      <w:r>
        <w:rPr>
          <w:rFonts w:hint="eastAsia" w:ascii="Times New Roman"/>
          <w:color w:val="000000" w:themeColor="text1"/>
          <w14:textFill>
            <w14:solidFill>
              <w14:schemeClr w14:val="tx1"/>
            </w14:solidFill>
          </w14:textFill>
        </w:rPr>
        <w:t>与自有和租用</w:t>
      </w:r>
      <w:r>
        <w:rPr>
          <w:rFonts w:ascii="Times New Roman"/>
          <w:color w:val="000000" w:themeColor="text1"/>
          <w14:textFill>
            <w14:solidFill>
              <w14:schemeClr w14:val="tx1"/>
            </w14:solidFill>
          </w14:textFill>
        </w:rPr>
        <w:t>叉车</w:t>
      </w:r>
      <w:r>
        <w:rPr>
          <w:rFonts w:hint="eastAsia" w:ascii="Times New Roman"/>
          <w:color w:val="000000" w:themeColor="text1"/>
          <w14:textFill>
            <w14:solidFill>
              <w14:schemeClr w14:val="tx1"/>
            </w14:solidFill>
          </w14:textFill>
        </w:rPr>
        <w:t>总数量之比，其计算方法按公式（</w:t>
      </w:r>
      <w:r>
        <w:rPr>
          <w:rFonts w:ascii="Times New Roman"/>
          <w:color w:val="000000" w:themeColor="text1"/>
          <w14:textFill>
            <w14:solidFill>
              <w14:schemeClr w14:val="tx1"/>
            </w14:solidFill>
          </w14:textFill>
        </w:rPr>
        <w:t>A.1</w:t>
      </w:r>
      <w:r>
        <w:rPr>
          <w:rFonts w:hint="eastAsia" w:ascii="Times New Roman"/>
          <w:color w:val="000000" w:themeColor="text1"/>
          <w14:textFill>
            <w14:solidFill>
              <w14:schemeClr w14:val="tx1"/>
            </w14:solidFill>
          </w14:textFill>
        </w:rPr>
        <w:t>）：</w:t>
      </w:r>
    </w:p>
    <w:p>
      <w:pPr>
        <w:pStyle w:val="31"/>
        <w:rPr>
          <w:rFonts w:ascii="Times New Roman"/>
          <w:szCs w:val="21"/>
        </w:rPr>
      </w:pPr>
      <w:r>
        <w:rPr>
          <w:rFonts w:ascii="Times New Roman"/>
          <w:szCs w:val="21"/>
        </w:rPr>
        <w:tab/>
      </w:r>
      <m:oMath>
        <m:r>
          <m:rPr/>
          <w:rPr>
            <w:rFonts w:ascii="Cambria Math" w:hAnsi="Cambria Math"/>
            <w:szCs w:val="21"/>
          </w:rPr>
          <m:t>FAR</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w:rPr>
                    <w:rFonts w:ascii="Cambria Math" w:hAnsi="Cambria Math"/>
                    <w:szCs w:val="21"/>
                  </w:rPr>
                  <m:t>F</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ctrlPr>
              <w:rPr>
                <w:rFonts w:ascii="Cambria Math" w:hAnsi="Cambria Math"/>
                <w:szCs w:val="21"/>
              </w:rPr>
            </m:ctrlPr>
          </m:num>
          <m:den>
            <m:r>
              <m:rPr/>
              <w:rPr>
                <w:rFonts w:ascii="Cambria Math" w:hAnsi="Cambria Math"/>
                <w:szCs w:val="21"/>
              </w:rPr>
              <m:t>TF</m:t>
            </m:r>
            <m:ctrlPr>
              <w:rPr>
                <w:rFonts w:ascii="Cambria Math" w:hAnsi="Cambria Math"/>
                <w:szCs w:val="21"/>
              </w:rPr>
            </m:ctrlPr>
          </m:den>
        </m:f>
        <m:r>
          <m:rPr>
            <m:sty m:val="p"/>
          </m:rPr>
          <w:rPr>
            <w:rFonts w:ascii="Cambria Math" w:hAnsi="Cambria Math"/>
            <w:szCs w:val="21"/>
          </w:rPr>
          <m:t>×100%</m:t>
        </m:r>
      </m:oMath>
      <w:r>
        <w:rPr>
          <w:rFonts w:ascii="Times New Roman"/>
          <w:szCs w:val="21"/>
        </w:rPr>
        <w:tab/>
      </w:r>
      <w:r>
        <w:rPr>
          <w:rFonts w:ascii="Times New Roman"/>
          <w:szCs w:val="21"/>
        </w:rPr>
        <w:t>(A.1)</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r>
          <m:rPr/>
          <w:rPr>
            <w:rFonts w:ascii="Cambria Math" w:hAnsi="Cambria Math"/>
            <w:szCs w:val="21"/>
          </w:rPr>
          <m:t>FAR</m:t>
        </m:r>
      </m:oMath>
      <w:r>
        <w:rPr>
          <w:rFonts w:ascii="Times New Roman"/>
          <w:szCs w:val="21"/>
        </w:rPr>
        <w:t>——</w:t>
      </w:r>
      <w:r>
        <w:rPr>
          <w:rFonts w:hint="eastAsia"/>
          <w:szCs w:val="21"/>
        </w:rPr>
        <w:t>新能源叉车</w:t>
      </w:r>
      <w:r>
        <w:rPr>
          <w:rFonts w:hint="eastAsia" w:ascii="Times New Roman"/>
          <w:szCs w:val="21"/>
        </w:rPr>
        <w:t>比重</w:t>
      </w:r>
      <w:r>
        <w:rPr>
          <w:rFonts w:ascii="Times New Roman"/>
          <w:szCs w:val="21"/>
        </w:rPr>
        <w:t>；</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F</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oMath>
      <w:r>
        <w:rPr>
          <w:rFonts w:ascii="Times New Roman"/>
          <w:szCs w:val="21"/>
        </w:rPr>
        <w:t>——</w:t>
      </w:r>
      <w:r>
        <w:rPr>
          <w:rFonts w:hint="eastAsia" w:ascii="Times New Roman"/>
          <w:color w:val="000000" w:themeColor="text1"/>
          <w14:textFill>
            <w14:solidFill>
              <w14:schemeClr w14:val="tx1"/>
            </w14:solidFill>
          </w14:textFill>
        </w:rPr>
        <w:t>自有和租用</w:t>
      </w:r>
      <w:r>
        <w:rPr>
          <w:rFonts w:hint="eastAsia"/>
          <w:szCs w:val="21"/>
        </w:rPr>
        <w:t>新能源叉车</w:t>
      </w:r>
      <w:r>
        <w:rPr>
          <w:rFonts w:hint="eastAsia" w:ascii="Times New Roman"/>
          <w:szCs w:val="21"/>
        </w:rPr>
        <w:t>数量，单位为辆</w:t>
      </w:r>
      <w:r>
        <w:rPr>
          <w:rFonts w:ascii="Times New Roman"/>
          <w:szCs w:val="21"/>
        </w:rPr>
        <w:t>；</w:t>
      </w:r>
    </w:p>
    <w:p>
      <w:pPr>
        <w:pStyle w:val="23"/>
        <w:ind w:firstLine="0" w:firstLineChars="0"/>
        <w:rPr>
          <w:rFonts w:ascii="Times New Roman"/>
          <w:szCs w:val="21"/>
        </w:rPr>
      </w:pPr>
      <m:oMath>
        <m:r>
          <m:rPr/>
          <w:rPr>
            <w:rFonts w:ascii="Cambria Math" w:hAnsi="Cambria Math"/>
            <w:szCs w:val="21"/>
          </w:rPr>
          <m:t>TF</m:t>
        </m:r>
      </m:oMath>
      <w:r>
        <w:rPr>
          <w:rFonts w:ascii="Times New Roman"/>
          <w:szCs w:val="21"/>
        </w:rPr>
        <w:t>——</w:t>
      </w:r>
      <w:r>
        <w:rPr>
          <w:rFonts w:hint="eastAsia" w:ascii="Times New Roman"/>
          <w:color w:val="000000" w:themeColor="text1"/>
          <w14:textFill>
            <w14:solidFill>
              <w14:schemeClr w14:val="tx1"/>
            </w14:solidFill>
          </w14:textFill>
        </w:rPr>
        <w:t>自有和租用</w:t>
      </w:r>
      <w:r>
        <w:rPr>
          <w:rFonts w:hint="eastAsia"/>
          <w:szCs w:val="21"/>
        </w:rPr>
        <w:t>叉车</w:t>
      </w:r>
      <w:r>
        <w:rPr>
          <w:rFonts w:hAnsiTheme="minorEastAsia"/>
          <w:szCs w:val="21"/>
        </w:rPr>
        <w:t>总</w:t>
      </w:r>
      <w:r>
        <w:rPr>
          <w:rFonts w:hint="eastAsia" w:hAnsiTheme="minorEastAsia"/>
          <w:szCs w:val="21"/>
        </w:rPr>
        <w:t>数</w:t>
      </w:r>
      <w:r>
        <w:rPr>
          <w:rFonts w:hAnsiTheme="minorEastAsia"/>
          <w:szCs w:val="21"/>
        </w:rPr>
        <w:t>量</w:t>
      </w:r>
      <w:r>
        <w:rPr>
          <w:rFonts w:ascii="Times New Roman"/>
          <w:szCs w:val="21"/>
        </w:rPr>
        <w:t>，单位为</w:t>
      </w:r>
      <w:r>
        <w:rPr>
          <w:rFonts w:hint="eastAsia" w:ascii="Times New Roman"/>
          <w:szCs w:val="21"/>
        </w:rPr>
        <w:t>辆</w:t>
      </w:r>
      <w:r>
        <w:rPr>
          <w:rFonts w:ascii="Times New Roman"/>
          <w:szCs w:val="21"/>
        </w:rPr>
        <w:t>。</w:t>
      </w:r>
    </w:p>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新能源载运工具（微型和轻型货运汽车）比重</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考核期内，企业自有和租用新能源载运工具（微型和轻型货运汽车）总载重量与自有和租用载运工具（微型和轻型货运汽车）总载重量之比，其计算方法按公式（</w:t>
      </w:r>
      <w:r>
        <w:rPr>
          <w:rFonts w:ascii="Times New Roman"/>
          <w:color w:val="000000" w:themeColor="text1"/>
          <w14:textFill>
            <w14:solidFill>
              <w14:schemeClr w14:val="tx1"/>
            </w14:solidFill>
          </w14:textFill>
        </w:rPr>
        <w:t>A.2</w:t>
      </w:r>
      <w:r>
        <w:rPr>
          <w:rFonts w:hint="eastAsia" w:ascii="Times New Roman"/>
          <w:color w:val="000000" w:themeColor="text1"/>
          <w14:textFill>
            <w14:solidFill>
              <w14:schemeClr w14:val="tx1"/>
            </w14:solidFill>
          </w14:textFill>
        </w:rPr>
        <w:t>）：</w:t>
      </w:r>
    </w:p>
    <w:p>
      <w:pPr>
        <w:pStyle w:val="31"/>
        <w:rPr>
          <w:rFonts w:ascii="Times New Roman"/>
          <w:szCs w:val="21"/>
        </w:rPr>
      </w:pPr>
      <w:r>
        <w:rPr>
          <w:rFonts w:ascii="Times New Roman"/>
          <w:szCs w:val="21"/>
        </w:rPr>
        <w:tab/>
      </w:r>
      <m:oMath>
        <m:sSub>
          <m:sSubPr>
            <m:ctrlPr>
              <w:rPr>
                <w:rFonts w:ascii="Cambria Math" w:hAnsi="Cambria Math"/>
                <w:szCs w:val="21"/>
              </w:rPr>
            </m:ctrlPr>
          </m:sSubPr>
          <m:e>
            <m:r>
              <m:rPr/>
              <w:rPr>
                <w:rFonts w:ascii="Cambria Math" w:hAnsi="Cambria Math"/>
                <w:szCs w:val="21"/>
              </w:rPr>
              <m:t>TVNR</m:t>
            </m:r>
            <m:ctrlPr>
              <w:rPr>
                <w:rFonts w:ascii="Cambria Math" w:hAnsi="Cambria Math"/>
                <w:szCs w:val="21"/>
              </w:rPr>
            </m:ctrlPr>
          </m:e>
          <m:sub>
            <m:r>
              <m:rPr>
                <m:sty m:val="p"/>
              </m:rPr>
              <w:rPr>
                <w:rFonts w:ascii="Cambria Math" w:hAnsi="Cambria Math"/>
                <w:szCs w:val="21"/>
              </w:rPr>
              <m:t>tw·tq</m:t>
            </m:r>
            <m:ctrlPr>
              <w:rPr>
                <w:rFonts w:ascii="Cambria Math" w:hAnsi="Cambria Math"/>
                <w:szCs w:val="21"/>
              </w:rPr>
            </m:ctrlP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w:rPr>
                    <w:rFonts w:ascii="Cambria Math" w:hAnsi="Cambria Math"/>
                    <w:szCs w:val="21"/>
                  </w:rPr>
                  <m:t>TVN</m:t>
                </m:r>
                <m:ctrlPr>
                  <w:rPr>
                    <w:rFonts w:ascii="Cambria Math" w:hAnsi="Cambria Math"/>
                    <w:szCs w:val="21"/>
                  </w:rPr>
                </m:ctrlPr>
              </m:e>
              <m:sub>
                <m:r>
                  <m:rPr>
                    <m:sty m:val="p"/>
                  </m:rPr>
                  <w:rPr>
                    <w:rFonts w:ascii="Cambria Math" w:hAnsi="Cambria Math"/>
                    <w:szCs w:val="21"/>
                  </w:rPr>
                  <m:t>tw·tq</m:t>
                </m:r>
                <m:ctrlPr>
                  <w:rPr>
                    <w:rFonts w:ascii="Cambria Math" w:hAnsi="Cambria Math"/>
                    <w:szCs w:val="21"/>
                  </w:rPr>
                </m:ctrlPr>
              </m:sub>
            </m:sSub>
            <m:ctrlPr>
              <w:rPr>
                <w:rFonts w:ascii="Cambria Math" w:hAnsi="Cambria Math"/>
                <w:szCs w:val="21"/>
              </w:rPr>
            </m:ctrlPr>
          </m:num>
          <m:den>
            <m:sSub>
              <m:sSubPr>
                <m:ctrlPr>
                  <w:rPr>
                    <w:rFonts w:ascii="Cambria Math" w:hAnsi="Cambria Math"/>
                    <w:szCs w:val="21"/>
                  </w:rPr>
                </m:ctrlPr>
              </m:sSubPr>
              <m:e>
                <m:r>
                  <m:rPr/>
                  <w:rPr>
                    <w:rFonts w:ascii="Cambria Math" w:hAnsi="Cambria Math"/>
                    <w:szCs w:val="21"/>
                  </w:rPr>
                  <m:t>TV</m:t>
                </m:r>
                <m:ctrlPr>
                  <w:rPr>
                    <w:rFonts w:ascii="Cambria Math" w:hAnsi="Cambria Math"/>
                    <w:szCs w:val="21"/>
                  </w:rPr>
                </m:ctrlPr>
              </m:e>
              <m:sub>
                <m:r>
                  <m:rPr>
                    <m:sty m:val="p"/>
                  </m:rPr>
                  <w:rPr>
                    <w:rFonts w:ascii="Cambria Math" w:hAnsi="Cambria Math"/>
                    <w:szCs w:val="21"/>
                  </w:rPr>
                  <m:t>tw·tq</m:t>
                </m:r>
                <m:ctrlPr>
                  <w:rPr>
                    <w:rFonts w:ascii="Cambria Math" w:hAnsi="Cambria Math"/>
                    <w:szCs w:val="21"/>
                  </w:rPr>
                </m:ctrlPr>
              </m:sub>
            </m:sSub>
            <m:ctrlPr>
              <w:rPr>
                <w:rFonts w:ascii="Cambria Math" w:hAnsi="Cambria Math"/>
                <w:szCs w:val="21"/>
              </w:rPr>
            </m:ctrlPr>
          </m:den>
        </m:f>
        <m:r>
          <m:rPr>
            <m:sty m:val="p"/>
          </m:rPr>
          <w:rPr>
            <w:rFonts w:ascii="Cambria Math" w:hAnsi="Cambria Math"/>
            <w:szCs w:val="21"/>
          </w:rPr>
          <m:t>×100%</m:t>
        </m:r>
      </m:oMath>
      <w:r>
        <w:rPr>
          <w:rFonts w:ascii="Times New Roman"/>
          <w:szCs w:val="21"/>
        </w:rPr>
        <w:tab/>
      </w:r>
      <w:r>
        <w:rPr>
          <w:rFonts w:ascii="Times New Roman"/>
          <w:szCs w:val="21"/>
        </w:rPr>
        <w:t>(A.2)</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TVNR</m:t>
            </m:r>
            <m:ctrlPr>
              <w:rPr>
                <w:rFonts w:ascii="Cambria Math" w:hAnsi="Cambria Math"/>
                <w:szCs w:val="21"/>
              </w:rPr>
            </m:ctrlPr>
          </m:e>
          <m:sub>
            <m:r>
              <m:rPr>
                <m:sty m:val="p"/>
              </m:rPr>
              <w:rPr>
                <w:rFonts w:ascii="Cambria Math" w:hAnsi="Cambria Math"/>
                <w:szCs w:val="21"/>
              </w:rPr>
              <m:t>tw·tq</m:t>
            </m:r>
            <m:ctrlPr>
              <w:rPr>
                <w:rFonts w:ascii="Cambria Math" w:hAnsi="Cambria Math"/>
                <w:szCs w:val="21"/>
              </w:rPr>
            </m:ctrlPr>
          </m:sub>
        </m:sSub>
      </m:oMath>
      <w:r>
        <w:rPr>
          <w:rFonts w:ascii="Times New Roman"/>
          <w:szCs w:val="21"/>
        </w:rPr>
        <w:t>——</w:t>
      </w:r>
      <w:r>
        <w:rPr>
          <w:rFonts w:hint="eastAsia"/>
          <w:szCs w:val="21"/>
        </w:rPr>
        <w:t>新能源载运工具（微型和轻型货运汽车）比重</w:t>
      </w:r>
      <w:r>
        <w:rPr>
          <w:rFonts w:ascii="Times New Roman"/>
          <w:szCs w:val="21"/>
        </w:rPr>
        <w:t>；</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TVN</m:t>
            </m:r>
            <m:ctrlPr>
              <w:rPr>
                <w:rFonts w:ascii="Cambria Math" w:hAnsi="Cambria Math"/>
                <w:szCs w:val="21"/>
              </w:rPr>
            </m:ctrlPr>
          </m:e>
          <m:sub>
            <m:r>
              <m:rPr>
                <m:sty m:val="p"/>
              </m:rPr>
              <w:rPr>
                <w:rFonts w:ascii="Cambria Math" w:hAnsi="Cambria Math"/>
                <w:szCs w:val="21"/>
              </w:rPr>
              <m:t>tw·tq</m:t>
            </m:r>
            <m:ctrlPr>
              <w:rPr>
                <w:rFonts w:ascii="Cambria Math" w:hAnsi="Cambria Math"/>
                <w:szCs w:val="21"/>
              </w:rPr>
            </m:ctrlPr>
          </m:sub>
        </m:sSub>
      </m:oMath>
      <w:r>
        <w:rPr>
          <w:rFonts w:ascii="Times New Roman"/>
          <w:szCs w:val="21"/>
        </w:rPr>
        <w:t>——</w:t>
      </w:r>
      <w:r>
        <w:rPr>
          <w:rFonts w:hint="eastAsia" w:ascii="Times New Roman"/>
          <w:color w:val="000000" w:themeColor="text1"/>
          <w14:textFill>
            <w14:solidFill>
              <w14:schemeClr w14:val="tx1"/>
            </w14:solidFill>
          </w14:textFill>
        </w:rPr>
        <w:t>自有和租用</w:t>
      </w:r>
      <w:r>
        <w:rPr>
          <w:rFonts w:hint="eastAsia"/>
          <w:szCs w:val="21"/>
        </w:rPr>
        <w:t>新能源</w:t>
      </w:r>
      <w:r>
        <w:rPr>
          <w:rFonts w:hint="eastAsia" w:ascii="Times New Roman"/>
          <w:color w:val="000000" w:themeColor="text1"/>
          <w14:textFill>
            <w14:solidFill>
              <w14:schemeClr w14:val="tx1"/>
            </w14:solidFill>
          </w14:textFill>
        </w:rPr>
        <w:t>载运工具</w:t>
      </w:r>
      <w:r>
        <w:rPr>
          <w:rFonts w:hint="eastAsia"/>
          <w:szCs w:val="21"/>
        </w:rPr>
        <w:t>（微型和轻型货运汽车）总载重量</w:t>
      </w:r>
      <w:r>
        <w:rPr>
          <w:szCs w:val="21"/>
        </w:rPr>
        <w:t>，</w:t>
      </w:r>
      <w:r>
        <w:rPr>
          <w:rFonts w:hint="eastAsia"/>
          <w:szCs w:val="21"/>
        </w:rPr>
        <w:t>单位为吨（t）</w:t>
      </w:r>
      <w:r>
        <w:rPr>
          <w:rFonts w:ascii="Times New Roman"/>
          <w:szCs w:val="21"/>
        </w:rPr>
        <w:t>；</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TV</m:t>
            </m:r>
            <m:ctrlPr>
              <w:rPr>
                <w:rFonts w:ascii="Cambria Math" w:hAnsi="Cambria Math"/>
                <w:szCs w:val="21"/>
              </w:rPr>
            </m:ctrlPr>
          </m:e>
          <m:sub>
            <m:r>
              <m:rPr>
                <m:sty m:val="p"/>
              </m:rPr>
              <w:rPr>
                <w:rFonts w:ascii="Cambria Math" w:hAnsi="Cambria Math"/>
                <w:szCs w:val="21"/>
              </w:rPr>
              <m:t>tw·tq</m:t>
            </m:r>
            <m:ctrlPr>
              <w:rPr>
                <w:rFonts w:ascii="Cambria Math" w:hAnsi="Cambria Math"/>
                <w:szCs w:val="21"/>
              </w:rPr>
            </m:ctrlPr>
          </m:sub>
        </m:sSub>
      </m:oMath>
      <w:r>
        <w:rPr>
          <w:rFonts w:ascii="Times New Roman"/>
          <w:szCs w:val="21"/>
        </w:rPr>
        <w:t>——</w:t>
      </w:r>
      <w:r>
        <w:rPr>
          <w:rFonts w:hint="eastAsia" w:ascii="Times New Roman"/>
          <w:color w:val="000000" w:themeColor="text1"/>
          <w14:textFill>
            <w14:solidFill>
              <w14:schemeClr w14:val="tx1"/>
            </w14:solidFill>
          </w14:textFill>
        </w:rPr>
        <w:t>自有和租用载运工具</w:t>
      </w:r>
      <w:r>
        <w:rPr>
          <w:rFonts w:hint="eastAsia"/>
          <w:szCs w:val="21"/>
        </w:rPr>
        <w:t>（微型和轻型货运汽车）总载重量，</w:t>
      </w:r>
      <w:r>
        <w:rPr>
          <w:szCs w:val="21"/>
        </w:rPr>
        <w:t>单位为</w:t>
      </w:r>
      <w:r>
        <w:rPr>
          <w:rFonts w:hint="eastAsia"/>
          <w:szCs w:val="21"/>
        </w:rPr>
        <w:t>吨（t）</w:t>
      </w:r>
      <w:r>
        <w:rPr>
          <w:rFonts w:ascii="Times New Roman"/>
          <w:szCs w:val="21"/>
        </w:rPr>
        <w:t>。</w:t>
      </w:r>
    </w:p>
    <w:p>
      <w:pPr>
        <w:pStyle w:val="23"/>
        <w:spacing w:before="120" w:beforeLines="50"/>
        <w:ind w:left="360" w:hanging="360" w:hangingChars="200"/>
        <w:rPr>
          <w:rFonts w:ascii="Times New Roman"/>
          <w:sz w:val="18"/>
          <w:szCs w:val="18"/>
        </w:rPr>
      </w:pPr>
      <w:r>
        <w:rPr>
          <w:rFonts w:hint="eastAsia" w:ascii="黑体" w:hAnsi="黑体" w:eastAsia="黑体"/>
          <w:sz w:val="18"/>
          <w:szCs w:val="18"/>
        </w:rPr>
        <w:t>注：</w:t>
      </w:r>
      <w:r>
        <w:rPr>
          <w:rFonts w:hint="eastAsia" w:hAnsi="宋体"/>
          <w:sz w:val="18"/>
          <w:szCs w:val="18"/>
        </w:rPr>
        <w:t>微型货运汽车是指车长小于或等于</w:t>
      </w:r>
      <w:r>
        <w:rPr>
          <w:rFonts w:ascii="Times New Roman"/>
          <w:sz w:val="18"/>
          <w:szCs w:val="18"/>
        </w:rPr>
        <w:t>3 500 mm</w:t>
      </w:r>
      <w:r>
        <w:rPr>
          <w:rFonts w:hint="eastAsia" w:hAnsi="宋体"/>
          <w:sz w:val="18"/>
          <w:szCs w:val="18"/>
        </w:rPr>
        <w:t>且总质量小于或等于</w:t>
      </w:r>
      <w:r>
        <w:rPr>
          <w:rFonts w:ascii="Times New Roman"/>
          <w:sz w:val="18"/>
          <w:szCs w:val="18"/>
        </w:rPr>
        <w:t>1 800 kg</w:t>
      </w:r>
      <w:r>
        <w:rPr>
          <w:rFonts w:hint="eastAsia" w:hAnsi="宋体"/>
          <w:sz w:val="18"/>
          <w:szCs w:val="18"/>
        </w:rPr>
        <w:t>的货运汽车，不包括低速货车。轻型货运</w:t>
      </w:r>
      <w:r>
        <w:rPr>
          <w:rFonts w:hint="eastAsia" w:ascii="Times New Roman"/>
          <w:sz w:val="18"/>
          <w:szCs w:val="18"/>
        </w:rPr>
        <w:t>汽车是指车长小于6 000 mm且总质量小于4 500 kg的货运汽车，不包括微型货车和低速货车。</w:t>
      </w:r>
    </w:p>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新能源载运工具与清洁环保载运工具（中型和重型货运汽车）比重</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考核期内，企业自有和租用新能源载运工具与清洁环保载运工具（中型和重型货运汽车）总载重量与自有和租用载运工具（中型和重型货运汽车）总载重量之比，其计算方法按公式（</w:t>
      </w:r>
      <w:r>
        <w:rPr>
          <w:rFonts w:ascii="Times New Roman"/>
          <w:color w:val="000000" w:themeColor="text1"/>
          <w14:textFill>
            <w14:solidFill>
              <w14:schemeClr w14:val="tx1"/>
            </w14:solidFill>
          </w14:textFill>
        </w:rPr>
        <w:t>A.3</w:t>
      </w:r>
      <w:r>
        <w:rPr>
          <w:rFonts w:hint="eastAsia" w:ascii="Times New Roman"/>
          <w:color w:val="000000" w:themeColor="text1"/>
          <w14:textFill>
            <w14:solidFill>
              <w14:schemeClr w14:val="tx1"/>
            </w14:solidFill>
          </w14:textFill>
        </w:rPr>
        <w:t>）：</w:t>
      </w:r>
    </w:p>
    <w:p>
      <w:pPr>
        <w:pStyle w:val="31"/>
        <w:rPr>
          <w:rFonts w:ascii="Times New Roman"/>
          <w:szCs w:val="21"/>
        </w:rPr>
      </w:pPr>
      <w:r>
        <w:rPr>
          <w:rFonts w:ascii="Times New Roman"/>
          <w:szCs w:val="21"/>
        </w:rPr>
        <w:tab/>
      </w:r>
      <m:oMath>
        <m:sSub>
          <m:sSubPr>
            <m:ctrlPr>
              <w:rPr>
                <w:rFonts w:ascii="Cambria Math" w:hAnsi="Cambria Math"/>
                <w:szCs w:val="21"/>
              </w:rPr>
            </m:ctrlPr>
          </m:sSubPr>
          <m:e>
            <m:r>
              <m:rPr/>
              <w:rPr>
                <w:rFonts w:ascii="Cambria Math" w:hAnsi="Cambria Math"/>
                <w:szCs w:val="21"/>
              </w:rPr>
              <m:t>TVNR</m:t>
            </m:r>
            <m:ctrlPr>
              <w:rPr>
                <w:rFonts w:ascii="Cambria Math" w:hAnsi="Cambria Math"/>
                <w:szCs w:val="21"/>
              </w:rPr>
            </m:ctrlPr>
          </m:e>
          <m:sub>
            <m:r>
              <m:rPr>
                <m:sty m:val="p"/>
              </m:rPr>
              <w:rPr>
                <w:rFonts w:ascii="Cambria Math" w:hAnsi="Cambria Math"/>
                <w:szCs w:val="21"/>
              </w:rPr>
              <m:t>tm·tz</m:t>
            </m:r>
            <m:ctrlPr>
              <w:rPr>
                <w:rFonts w:ascii="Cambria Math" w:hAnsi="Cambria Math"/>
                <w:szCs w:val="21"/>
              </w:rPr>
            </m:ctrlP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w:rPr>
                    <w:rFonts w:ascii="Cambria Math" w:hAnsi="Cambria Math"/>
                    <w:szCs w:val="21"/>
                  </w:rPr>
                  <m:t>TVN</m:t>
                </m:r>
                <m:ctrlPr>
                  <w:rPr>
                    <w:rFonts w:ascii="Cambria Math" w:hAnsi="Cambria Math"/>
                    <w:szCs w:val="21"/>
                  </w:rPr>
                </m:ctrlPr>
              </m:e>
              <m:sub>
                <m:r>
                  <m:rPr>
                    <m:sty m:val="p"/>
                  </m:rPr>
                  <w:rPr>
                    <w:rFonts w:ascii="Cambria Math" w:hAnsi="Cambria Math"/>
                    <w:szCs w:val="21"/>
                  </w:rPr>
                  <m:t>tm·tz</m:t>
                </m:r>
                <m:ctrlPr>
                  <w:rPr>
                    <w:rFonts w:ascii="Cambria Math" w:hAnsi="Cambria Math"/>
                    <w:szCs w:val="21"/>
                  </w:rPr>
                </m:ctrlPr>
              </m:sub>
            </m:sSub>
            <m:ctrlPr>
              <w:rPr>
                <w:rFonts w:ascii="Cambria Math" w:hAnsi="Cambria Math"/>
                <w:szCs w:val="21"/>
              </w:rPr>
            </m:ctrlPr>
          </m:num>
          <m:den>
            <m:sSub>
              <m:sSubPr>
                <m:ctrlPr>
                  <w:rPr>
                    <w:rFonts w:ascii="Cambria Math" w:hAnsi="Cambria Math"/>
                    <w:szCs w:val="21"/>
                  </w:rPr>
                </m:ctrlPr>
              </m:sSubPr>
              <m:e>
                <m:r>
                  <m:rPr/>
                  <w:rPr>
                    <w:rFonts w:ascii="Cambria Math" w:hAnsi="Cambria Math"/>
                    <w:szCs w:val="21"/>
                  </w:rPr>
                  <m:t>TV</m:t>
                </m:r>
                <m:ctrlPr>
                  <w:rPr>
                    <w:rFonts w:ascii="Cambria Math" w:hAnsi="Cambria Math"/>
                    <w:szCs w:val="21"/>
                  </w:rPr>
                </m:ctrlPr>
              </m:e>
              <m:sub>
                <m:r>
                  <m:rPr>
                    <m:sty m:val="p"/>
                  </m:rPr>
                  <w:rPr>
                    <w:rFonts w:ascii="Cambria Math" w:hAnsi="Cambria Math"/>
                    <w:szCs w:val="21"/>
                  </w:rPr>
                  <m:t>tm·tz</m:t>
                </m:r>
                <m:ctrlPr>
                  <w:rPr>
                    <w:rFonts w:ascii="Cambria Math" w:hAnsi="Cambria Math"/>
                    <w:szCs w:val="21"/>
                  </w:rPr>
                </m:ctrlPr>
              </m:sub>
            </m:sSub>
            <m:ctrlPr>
              <w:rPr>
                <w:rFonts w:ascii="Cambria Math" w:hAnsi="Cambria Math"/>
                <w:szCs w:val="21"/>
              </w:rPr>
            </m:ctrlPr>
          </m:den>
        </m:f>
        <m:r>
          <m:rPr>
            <m:sty m:val="p"/>
          </m:rPr>
          <w:rPr>
            <w:rFonts w:ascii="Cambria Math" w:hAnsi="Cambria Math"/>
            <w:szCs w:val="21"/>
          </w:rPr>
          <m:t>×100%</m:t>
        </m:r>
      </m:oMath>
      <w:r>
        <w:rPr>
          <w:rFonts w:ascii="Times New Roman"/>
          <w:szCs w:val="21"/>
        </w:rPr>
        <w:tab/>
      </w:r>
      <w:r>
        <w:rPr>
          <w:rFonts w:ascii="Times New Roman"/>
          <w:szCs w:val="21"/>
        </w:rPr>
        <w:t>(A.3)</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TVNR</m:t>
            </m:r>
            <m:ctrlPr>
              <w:rPr>
                <w:rFonts w:ascii="Cambria Math" w:hAnsi="Cambria Math"/>
                <w:szCs w:val="21"/>
              </w:rPr>
            </m:ctrlPr>
          </m:e>
          <m:sub>
            <m:r>
              <m:rPr>
                <m:sty m:val="p"/>
              </m:rPr>
              <w:rPr>
                <w:rFonts w:ascii="Cambria Math" w:hAnsi="Cambria Math"/>
                <w:szCs w:val="21"/>
              </w:rPr>
              <m:t>tm·tz</m:t>
            </m:r>
            <m:ctrlPr>
              <w:rPr>
                <w:rFonts w:ascii="Cambria Math" w:hAnsi="Cambria Math"/>
                <w:szCs w:val="21"/>
              </w:rPr>
            </m:ctrlPr>
          </m:sub>
        </m:sSub>
      </m:oMath>
      <w:r>
        <w:rPr>
          <w:rFonts w:ascii="Times New Roman"/>
          <w:szCs w:val="21"/>
        </w:rPr>
        <w:t>——</w:t>
      </w:r>
      <w:r>
        <w:rPr>
          <w:rFonts w:hint="eastAsia"/>
          <w:szCs w:val="21"/>
        </w:rPr>
        <w:t>新能源</w:t>
      </w:r>
      <w:r>
        <w:rPr>
          <w:rFonts w:hint="eastAsia" w:ascii="Times New Roman"/>
          <w:color w:val="000000" w:themeColor="text1"/>
          <w14:textFill>
            <w14:solidFill>
              <w14:schemeClr w14:val="tx1"/>
            </w14:solidFill>
          </w14:textFill>
        </w:rPr>
        <w:t>载运工具</w:t>
      </w:r>
      <w:r>
        <w:rPr>
          <w:rFonts w:hint="eastAsia"/>
          <w:szCs w:val="21"/>
        </w:rPr>
        <w:t>与清洁环保</w:t>
      </w:r>
      <w:r>
        <w:rPr>
          <w:rFonts w:hint="eastAsia" w:ascii="Times New Roman"/>
          <w:color w:val="000000" w:themeColor="text1"/>
          <w14:textFill>
            <w14:solidFill>
              <w14:schemeClr w14:val="tx1"/>
            </w14:solidFill>
          </w14:textFill>
        </w:rPr>
        <w:t>载运工具</w:t>
      </w:r>
      <w:r>
        <w:rPr>
          <w:rFonts w:hint="eastAsia"/>
          <w:szCs w:val="21"/>
        </w:rPr>
        <w:t>（中型和重型货运汽车）比重</w:t>
      </w:r>
      <w:r>
        <w:rPr>
          <w:rFonts w:ascii="Times New Roman"/>
          <w:szCs w:val="21"/>
        </w:rPr>
        <w:t>；</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TVN</m:t>
            </m:r>
            <m:ctrlPr>
              <w:rPr>
                <w:rFonts w:ascii="Cambria Math" w:hAnsi="Cambria Math"/>
                <w:szCs w:val="21"/>
              </w:rPr>
            </m:ctrlPr>
          </m:e>
          <m:sub>
            <m:r>
              <m:rPr>
                <m:sty m:val="p"/>
              </m:rPr>
              <w:rPr>
                <w:rFonts w:ascii="Cambria Math" w:hAnsi="Cambria Math"/>
                <w:szCs w:val="21"/>
              </w:rPr>
              <m:t>tm·tz</m:t>
            </m:r>
            <m:ctrlPr>
              <w:rPr>
                <w:rFonts w:ascii="Cambria Math" w:hAnsi="Cambria Math"/>
                <w:szCs w:val="21"/>
              </w:rPr>
            </m:ctrlPr>
          </m:sub>
        </m:sSub>
      </m:oMath>
      <w:r>
        <w:rPr>
          <w:rFonts w:ascii="Times New Roman"/>
          <w:szCs w:val="21"/>
        </w:rPr>
        <w:t>——</w:t>
      </w:r>
      <w:r>
        <w:rPr>
          <w:rFonts w:hint="eastAsia" w:ascii="Times New Roman"/>
          <w:color w:val="000000" w:themeColor="text1"/>
          <w14:textFill>
            <w14:solidFill>
              <w14:schemeClr w14:val="tx1"/>
            </w14:solidFill>
          </w14:textFill>
        </w:rPr>
        <w:t>自有和租用</w:t>
      </w:r>
      <w:r>
        <w:rPr>
          <w:rFonts w:hint="eastAsia"/>
          <w:szCs w:val="21"/>
        </w:rPr>
        <w:t>新能源</w:t>
      </w:r>
      <w:r>
        <w:rPr>
          <w:rFonts w:hint="eastAsia" w:ascii="Times New Roman"/>
          <w:color w:val="000000" w:themeColor="text1"/>
          <w14:textFill>
            <w14:solidFill>
              <w14:schemeClr w14:val="tx1"/>
            </w14:solidFill>
          </w14:textFill>
        </w:rPr>
        <w:t>载运工具</w:t>
      </w:r>
      <w:r>
        <w:rPr>
          <w:rFonts w:hint="eastAsia"/>
          <w:szCs w:val="21"/>
        </w:rPr>
        <w:t>与清洁环保</w:t>
      </w:r>
      <w:r>
        <w:rPr>
          <w:rFonts w:hint="eastAsia" w:ascii="Times New Roman"/>
          <w:color w:val="000000" w:themeColor="text1"/>
          <w14:textFill>
            <w14:solidFill>
              <w14:schemeClr w14:val="tx1"/>
            </w14:solidFill>
          </w14:textFill>
        </w:rPr>
        <w:t>载运工具</w:t>
      </w:r>
      <w:r>
        <w:rPr>
          <w:rFonts w:hint="eastAsia"/>
          <w:szCs w:val="21"/>
        </w:rPr>
        <w:t>（中型和重型货运汽车）总载重量</w:t>
      </w:r>
      <w:r>
        <w:rPr>
          <w:rFonts w:hint="eastAsia" w:ascii="Times New Roman"/>
          <w:szCs w:val="21"/>
        </w:rPr>
        <w:t>，单位为</w:t>
      </w:r>
      <w:r>
        <w:rPr>
          <w:rFonts w:hint="eastAsia"/>
          <w:szCs w:val="21"/>
        </w:rPr>
        <w:t>吨（t）</w:t>
      </w:r>
      <w:r>
        <w:rPr>
          <w:rFonts w:ascii="Times New Roman"/>
          <w:szCs w:val="21"/>
        </w:rPr>
        <w:t>；</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TV</m:t>
            </m:r>
            <m:ctrlPr>
              <w:rPr>
                <w:rFonts w:ascii="Cambria Math" w:hAnsi="Cambria Math"/>
                <w:szCs w:val="21"/>
              </w:rPr>
            </m:ctrlPr>
          </m:e>
          <m:sub>
            <m:r>
              <m:rPr>
                <m:sty m:val="p"/>
              </m:rPr>
              <w:rPr>
                <w:rFonts w:ascii="Cambria Math" w:hAnsi="Cambria Math"/>
                <w:szCs w:val="21"/>
              </w:rPr>
              <m:t>tm·tz</m:t>
            </m:r>
            <m:ctrlPr>
              <w:rPr>
                <w:rFonts w:ascii="Cambria Math" w:hAnsi="Cambria Math"/>
                <w:szCs w:val="21"/>
              </w:rPr>
            </m:ctrlPr>
          </m:sub>
        </m:sSub>
      </m:oMath>
      <w:r>
        <w:rPr>
          <w:rFonts w:ascii="Times New Roman"/>
          <w:szCs w:val="21"/>
        </w:rPr>
        <w:t>——</w:t>
      </w:r>
      <w:r>
        <w:rPr>
          <w:rFonts w:hint="eastAsia" w:ascii="Times New Roman"/>
          <w:color w:val="000000" w:themeColor="text1"/>
          <w14:textFill>
            <w14:solidFill>
              <w14:schemeClr w14:val="tx1"/>
            </w14:solidFill>
          </w14:textFill>
        </w:rPr>
        <w:t>自有和租用载运工具</w:t>
      </w:r>
      <w:r>
        <w:rPr>
          <w:rFonts w:hint="eastAsia"/>
          <w:szCs w:val="21"/>
        </w:rPr>
        <w:t>（中型和重型货运汽车）总载重量</w:t>
      </w:r>
      <w:r>
        <w:rPr>
          <w:rFonts w:hint="eastAsia" w:ascii="Times New Roman"/>
          <w:szCs w:val="21"/>
        </w:rPr>
        <w:t>，</w:t>
      </w:r>
      <w:r>
        <w:rPr>
          <w:rFonts w:ascii="Times New Roman"/>
          <w:szCs w:val="21"/>
        </w:rPr>
        <w:t>单位为</w:t>
      </w:r>
      <w:r>
        <w:rPr>
          <w:rFonts w:hint="eastAsia"/>
          <w:szCs w:val="21"/>
        </w:rPr>
        <w:t>吨（t）</w:t>
      </w:r>
      <w:r>
        <w:rPr>
          <w:rFonts w:ascii="Times New Roman"/>
          <w:szCs w:val="21"/>
        </w:rPr>
        <w:t>。</w:t>
      </w:r>
    </w:p>
    <w:p>
      <w:pPr>
        <w:pStyle w:val="23"/>
        <w:spacing w:before="120" w:beforeLines="50"/>
        <w:ind w:left="360" w:hanging="360" w:hangingChars="200"/>
        <w:rPr>
          <w:rFonts w:ascii="Times New Roman"/>
          <w:sz w:val="18"/>
          <w:szCs w:val="18"/>
        </w:rPr>
      </w:pPr>
      <w:r>
        <w:rPr>
          <w:rFonts w:hint="eastAsia" w:ascii="黑体" w:hAnsi="黑体" w:eastAsia="黑体"/>
          <w:sz w:val="18"/>
          <w:szCs w:val="18"/>
        </w:rPr>
        <w:t>注：</w:t>
      </w:r>
      <w:r>
        <w:rPr>
          <w:rFonts w:hint="eastAsia" w:hAnsi="宋体"/>
          <w:sz w:val="18"/>
          <w:szCs w:val="18"/>
        </w:rPr>
        <w:t>中型货运汽车是指</w:t>
      </w:r>
      <w:r>
        <w:rPr>
          <w:rFonts w:hint="eastAsia" w:ascii="Times New Roman"/>
          <w:sz w:val="18"/>
          <w:szCs w:val="18"/>
        </w:rPr>
        <w:t>车长大于或等于6 000 mm或者总质量大于或等于4 500 kg且小于12 000 kg的货运汽车，不包括低速货车。重型货运汽车是指总质量大于或等于12 000 kg的货运汽车。</w:t>
      </w:r>
    </w:p>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标准托盘比重</w:t>
      </w:r>
    </w:p>
    <w:p>
      <w:pPr>
        <w:pStyle w:val="23"/>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考核期内，企业自有和租用标准托盘数量与自有和租用托盘总数量之比，其计算方法按公式（</w:t>
      </w:r>
      <w:r>
        <w:rPr>
          <w:rFonts w:ascii="Times New Roman"/>
          <w:color w:val="000000" w:themeColor="text1"/>
          <w14:textFill>
            <w14:solidFill>
              <w14:schemeClr w14:val="tx1"/>
            </w14:solidFill>
          </w14:textFill>
        </w:rPr>
        <w:t>A.4</w:t>
      </w:r>
      <w:r>
        <w:rPr>
          <w:rFonts w:hint="eastAsia" w:ascii="Times New Roman"/>
          <w:color w:val="000000" w:themeColor="text1"/>
          <w14:textFill>
            <w14:solidFill>
              <w14:schemeClr w14:val="tx1"/>
            </w14:solidFill>
          </w14:textFill>
        </w:rPr>
        <w:t>）：</w:t>
      </w:r>
    </w:p>
    <w:p>
      <w:pPr>
        <w:pStyle w:val="31"/>
        <w:spacing w:line="288" w:lineRule="auto"/>
        <w:rPr>
          <w:rFonts w:ascii="Times New Roman"/>
          <w:szCs w:val="21"/>
        </w:rPr>
      </w:pPr>
      <w:r>
        <w:rPr>
          <w:rFonts w:ascii="Times New Roman"/>
          <w:szCs w:val="21"/>
        </w:rPr>
        <w:tab/>
      </w:r>
      <m:oMath>
        <m:r>
          <m:rPr/>
          <w:rPr>
            <w:rFonts w:ascii="Cambria Math" w:hAnsi="Cambria Math"/>
            <w:szCs w:val="21"/>
          </w:rPr>
          <m:t>SPR</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w:rPr>
                    <w:rFonts w:ascii="Cambria Math" w:hAnsi="Cambria Math"/>
                    <w:szCs w:val="21"/>
                  </w:rPr>
                  <m:t>TP</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ctrlPr>
              <w:rPr>
                <w:rFonts w:ascii="Cambria Math" w:hAnsi="Cambria Math"/>
                <w:szCs w:val="21"/>
              </w:rPr>
            </m:ctrlPr>
          </m:num>
          <m:den>
            <m:sSub>
              <m:sSubPr>
                <m:ctrlPr>
                  <w:rPr>
                    <w:rFonts w:ascii="Cambria Math" w:hAnsi="Cambria Math"/>
                    <w:szCs w:val="21"/>
                  </w:rPr>
                </m:ctrlPr>
              </m:sSubPr>
              <m:e>
                <m:r>
                  <m:rPr/>
                  <w:rPr>
                    <w:rFonts w:ascii="Cambria Math" w:hAnsi="Cambria Math"/>
                    <w:szCs w:val="21"/>
                  </w:rPr>
                  <m:t>TP</m:t>
                </m:r>
                <m:ctrlPr>
                  <w:rPr>
                    <w:rFonts w:ascii="Cambria Math" w:hAnsi="Cambria Math"/>
                    <w:szCs w:val="21"/>
                  </w:rPr>
                </m:ctrlPr>
              </m:e>
              <m:sub>
                <m:r>
                  <m:rPr>
                    <m:sty m:val="p"/>
                  </m:rPr>
                  <w:rPr>
                    <w:rFonts w:ascii="Cambria Math" w:hAnsi="Cambria Math"/>
                    <w:szCs w:val="21"/>
                  </w:rPr>
                  <m:t>t</m:t>
                </m:r>
                <m:ctrlPr>
                  <w:rPr>
                    <w:rFonts w:ascii="Cambria Math" w:hAnsi="Cambria Math"/>
                    <w:szCs w:val="21"/>
                  </w:rPr>
                </m:ctrlPr>
              </m:sub>
            </m:sSub>
            <m:ctrlPr>
              <w:rPr>
                <w:rFonts w:ascii="Cambria Math" w:hAnsi="Cambria Math"/>
                <w:szCs w:val="21"/>
              </w:rPr>
            </m:ctrlPr>
          </m:den>
        </m:f>
        <m:r>
          <m:rPr>
            <m:sty m:val="p"/>
          </m:rPr>
          <w:rPr>
            <w:rFonts w:ascii="Cambria Math" w:hAnsi="Cambria Math"/>
            <w:szCs w:val="21"/>
          </w:rPr>
          <m:t>×100%</m:t>
        </m:r>
      </m:oMath>
      <w:r>
        <w:rPr>
          <w:rFonts w:ascii="Times New Roman"/>
          <w:szCs w:val="21"/>
        </w:rPr>
        <w:tab/>
      </w:r>
      <w:r>
        <w:rPr>
          <w:rFonts w:ascii="Times New Roman"/>
          <w:szCs w:val="21"/>
        </w:rPr>
        <w:t>(A.4)</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r>
          <m:rPr/>
          <w:rPr>
            <w:rFonts w:hint="eastAsia" w:ascii="Cambria Math" w:hAnsi="Cambria Math"/>
            <w:szCs w:val="21"/>
          </w:rPr>
          <m:t>SP</m:t>
        </m:r>
        <m:r>
          <m:rPr/>
          <w:rPr>
            <w:rFonts w:ascii="Cambria Math" w:hAnsi="Cambria Math"/>
            <w:szCs w:val="21"/>
          </w:rPr>
          <m:t>R</m:t>
        </m:r>
      </m:oMath>
      <w:r>
        <w:rPr>
          <w:rFonts w:ascii="Times New Roman"/>
          <w:szCs w:val="21"/>
        </w:rPr>
        <w:t>——</w:t>
      </w:r>
      <w:r>
        <w:rPr>
          <w:rFonts w:hint="eastAsia" w:ascii="Times New Roman"/>
          <w:color w:val="000000" w:themeColor="text1"/>
          <w14:textFill>
            <w14:solidFill>
              <w14:schemeClr w14:val="tx1"/>
            </w14:solidFill>
          </w14:textFill>
        </w:rPr>
        <w:t>标准</w:t>
      </w:r>
      <w:r>
        <w:rPr>
          <w:rFonts w:hint="eastAsia" w:ascii="Times New Roman"/>
          <w:szCs w:val="21"/>
        </w:rPr>
        <w:t>托盘比重</w:t>
      </w:r>
      <w:r>
        <w:rPr>
          <w:rFonts w:ascii="Times New Roman"/>
          <w:szCs w:val="21"/>
        </w:rPr>
        <w:t>；</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TP</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oMath>
      <w:r>
        <w:rPr>
          <w:rFonts w:ascii="Times New Roman"/>
          <w:szCs w:val="21"/>
        </w:rPr>
        <w:t>——</w:t>
      </w:r>
      <w:r>
        <w:rPr>
          <w:rFonts w:hint="eastAsia" w:ascii="Times New Roman"/>
          <w:color w:val="000000" w:themeColor="text1"/>
          <w14:textFill>
            <w14:solidFill>
              <w14:schemeClr w14:val="tx1"/>
            </w14:solidFill>
          </w14:textFill>
        </w:rPr>
        <w:t>自有和租用标准</w:t>
      </w:r>
      <w:r>
        <w:rPr>
          <w:rFonts w:hint="eastAsia" w:ascii="Times New Roman"/>
          <w:szCs w:val="21"/>
        </w:rPr>
        <w:t>托盘数量，单位为</w:t>
      </w:r>
      <w:r>
        <w:rPr>
          <w:rFonts w:hint="eastAsia" w:ascii="Times New Roman" w:hAnsiTheme="minorEastAsia"/>
          <w:szCs w:val="21"/>
        </w:rPr>
        <w:t>个</w:t>
      </w:r>
      <w:r>
        <w:rPr>
          <w:rFonts w:ascii="Times New Roman"/>
          <w:szCs w:val="21"/>
        </w:rPr>
        <w:t>；</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TP</m:t>
            </m:r>
            <m:ctrlPr>
              <w:rPr>
                <w:rFonts w:ascii="Cambria Math" w:hAnsi="Cambria Math"/>
                <w:szCs w:val="21"/>
              </w:rPr>
            </m:ctrlPr>
          </m:e>
          <m:sub>
            <m:r>
              <m:rPr>
                <m:sty m:val="p"/>
              </m:rPr>
              <w:rPr>
                <w:rFonts w:ascii="Cambria Math" w:hAnsi="Cambria Math"/>
                <w:szCs w:val="21"/>
              </w:rPr>
              <m:t>t</m:t>
            </m:r>
            <m:ctrlPr>
              <w:rPr>
                <w:rFonts w:ascii="Cambria Math" w:hAnsi="Cambria Math"/>
                <w:szCs w:val="21"/>
              </w:rPr>
            </m:ctrlPr>
          </m:sub>
        </m:sSub>
      </m:oMath>
      <w:r>
        <w:rPr>
          <w:rFonts w:ascii="Times New Roman"/>
          <w:szCs w:val="21"/>
        </w:rPr>
        <w:t>——</w:t>
      </w:r>
      <w:r>
        <w:rPr>
          <w:rFonts w:hint="eastAsia" w:ascii="Times New Roman"/>
          <w:color w:val="000000" w:themeColor="text1"/>
          <w14:textFill>
            <w14:solidFill>
              <w14:schemeClr w14:val="tx1"/>
            </w14:solidFill>
          </w14:textFill>
        </w:rPr>
        <w:t>自有和租用</w:t>
      </w:r>
      <w:r>
        <w:rPr>
          <w:rFonts w:hint="eastAsia" w:ascii="Times New Roman"/>
          <w:szCs w:val="21"/>
        </w:rPr>
        <w:t>托盘总数量</w:t>
      </w:r>
      <w:r>
        <w:rPr>
          <w:rFonts w:ascii="Times New Roman"/>
          <w:szCs w:val="21"/>
        </w:rPr>
        <w:t>，单位为</w:t>
      </w:r>
      <w:r>
        <w:rPr>
          <w:rFonts w:hint="eastAsia" w:ascii="Times New Roman" w:hAnsiTheme="minorEastAsia"/>
          <w:szCs w:val="21"/>
        </w:rPr>
        <w:t>个</w:t>
      </w:r>
      <w:r>
        <w:rPr>
          <w:rFonts w:ascii="Times New Roman"/>
          <w:szCs w:val="21"/>
        </w:rPr>
        <w:t>。</w:t>
      </w:r>
    </w:p>
    <w:p>
      <w:pPr>
        <w:pStyle w:val="23"/>
        <w:spacing w:before="120" w:beforeLines="50"/>
        <w:ind w:firstLine="360"/>
        <w:rPr>
          <w:rFonts w:ascii="Times New Roman"/>
          <w:sz w:val="18"/>
          <w:szCs w:val="18"/>
        </w:rPr>
      </w:pPr>
      <w:r>
        <w:rPr>
          <w:rFonts w:hint="eastAsia" w:ascii="黑体" w:hAnsi="黑体" w:eastAsia="黑体"/>
          <w:sz w:val="18"/>
          <w:szCs w:val="18"/>
        </w:rPr>
        <w:t>注：</w:t>
      </w:r>
      <w:r>
        <w:rPr>
          <w:rFonts w:hint="eastAsia" w:ascii="Times New Roman"/>
          <w:sz w:val="18"/>
          <w:szCs w:val="18"/>
        </w:rPr>
        <w:t>标准托盘是指平面尺寸满足GB</w:t>
      </w:r>
      <w:r>
        <w:rPr>
          <w:rFonts w:ascii="Times New Roman"/>
          <w:sz w:val="18"/>
          <w:szCs w:val="18"/>
        </w:rPr>
        <w:t>/</w:t>
      </w:r>
      <w:r>
        <w:rPr>
          <w:rFonts w:hint="eastAsia" w:ascii="Times New Roman"/>
          <w:sz w:val="18"/>
          <w:szCs w:val="18"/>
        </w:rPr>
        <w:t>T 2934要求的托盘。</w:t>
      </w:r>
    </w:p>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标准周转箱比重</w:t>
      </w:r>
    </w:p>
    <w:p>
      <w:pPr>
        <w:pStyle w:val="23"/>
        <w:rPr>
          <w:rFonts w:ascii="Times New Roman"/>
          <w:color w:val="000000" w:themeColor="text1"/>
          <w:szCs w:val="21"/>
          <w14:textFill>
            <w14:solidFill>
              <w14:schemeClr w14:val="tx1"/>
            </w14:solidFill>
          </w14:textFill>
        </w:rPr>
      </w:pPr>
      <w:r>
        <w:rPr>
          <w:rFonts w:hint="eastAsia" w:ascii="Times New Roman"/>
          <w:color w:val="000000" w:themeColor="text1"/>
          <w14:textFill>
            <w14:solidFill>
              <w14:schemeClr w14:val="tx1"/>
            </w14:solidFill>
          </w14:textFill>
        </w:rPr>
        <w:t>考核期内，</w:t>
      </w:r>
      <w:r>
        <w:rPr>
          <w:rFonts w:hint="eastAsia" w:ascii="Times New Roman"/>
          <w:color w:val="000000" w:themeColor="text1"/>
          <w:szCs w:val="21"/>
          <w14:textFill>
            <w14:solidFill>
              <w14:schemeClr w14:val="tx1"/>
            </w14:solidFill>
          </w14:textFill>
        </w:rPr>
        <w:t>企业自有和租用标准周转箱数量与</w:t>
      </w:r>
      <w:r>
        <w:rPr>
          <w:rFonts w:hint="eastAsia" w:ascii="Times New Roman"/>
          <w:color w:val="000000" w:themeColor="text1"/>
          <w14:textFill>
            <w14:solidFill>
              <w14:schemeClr w14:val="tx1"/>
            </w14:solidFill>
          </w14:textFill>
        </w:rPr>
        <w:t>自有和租用</w:t>
      </w:r>
      <w:r>
        <w:rPr>
          <w:rFonts w:hint="eastAsia" w:ascii="Times New Roman"/>
          <w:color w:val="000000" w:themeColor="text1"/>
          <w:szCs w:val="21"/>
          <w14:textFill>
            <w14:solidFill>
              <w14:schemeClr w14:val="tx1"/>
            </w14:solidFill>
          </w14:textFill>
        </w:rPr>
        <w:t>周转箱总数量之比，</w:t>
      </w:r>
      <w:r>
        <w:rPr>
          <w:rFonts w:hint="eastAsia" w:ascii="Times New Roman"/>
          <w:color w:val="000000" w:themeColor="text1"/>
          <w14:textFill>
            <w14:solidFill>
              <w14:schemeClr w14:val="tx1"/>
            </w14:solidFill>
          </w14:textFill>
        </w:rPr>
        <w:t>其计算方法按公式（</w:t>
      </w:r>
      <w:r>
        <w:rPr>
          <w:rFonts w:ascii="Times New Roman"/>
          <w:color w:val="000000" w:themeColor="text1"/>
          <w14:textFill>
            <w14:solidFill>
              <w14:schemeClr w14:val="tx1"/>
            </w14:solidFill>
          </w14:textFill>
        </w:rPr>
        <w:t>A.5</w:t>
      </w:r>
      <w:r>
        <w:rPr>
          <w:rFonts w:hint="eastAsia" w:ascii="Times New Roman"/>
          <w:color w:val="000000" w:themeColor="text1"/>
          <w14:textFill>
            <w14:solidFill>
              <w14:schemeClr w14:val="tx1"/>
            </w14:solidFill>
          </w14:textFill>
        </w:rPr>
        <w:t>）：</w:t>
      </w:r>
    </w:p>
    <w:p>
      <w:pPr>
        <w:pStyle w:val="31"/>
        <w:spacing w:line="288" w:lineRule="auto"/>
        <w:rPr>
          <w:rFonts w:ascii="Times New Roman"/>
          <w:szCs w:val="21"/>
        </w:rPr>
      </w:pPr>
      <w:r>
        <w:rPr>
          <w:rFonts w:ascii="Times New Roman"/>
          <w:szCs w:val="21"/>
        </w:rPr>
        <w:tab/>
      </w:r>
      <m:oMath>
        <m:r>
          <m:rPr/>
          <w:rPr>
            <w:rFonts w:ascii="Cambria Math" w:hAnsi="Cambria Math"/>
            <w:szCs w:val="21"/>
          </w:rPr>
          <m:t>STBR</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w:rPr>
                    <w:rFonts w:ascii="Cambria Math" w:hAnsi="Cambria Math"/>
                    <w:szCs w:val="21"/>
                  </w:rPr>
                  <m:t>TTB</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ctrlPr>
              <w:rPr>
                <w:rFonts w:ascii="Cambria Math" w:hAnsi="Cambria Math"/>
                <w:szCs w:val="21"/>
              </w:rPr>
            </m:ctrlPr>
          </m:num>
          <m:den>
            <m:sSub>
              <m:sSubPr>
                <m:ctrlPr>
                  <w:rPr>
                    <w:rFonts w:ascii="Cambria Math" w:hAnsi="Cambria Math"/>
                    <w:szCs w:val="21"/>
                  </w:rPr>
                </m:ctrlPr>
              </m:sSubPr>
              <m:e>
                <m:r>
                  <m:rPr/>
                  <w:rPr>
                    <w:rFonts w:ascii="Cambria Math" w:hAnsi="Cambria Math"/>
                    <w:szCs w:val="21"/>
                  </w:rPr>
                  <m:t>TTB</m:t>
                </m:r>
                <m:ctrlPr>
                  <w:rPr>
                    <w:rFonts w:ascii="Cambria Math" w:hAnsi="Cambria Math"/>
                    <w:szCs w:val="21"/>
                  </w:rPr>
                </m:ctrlPr>
              </m:e>
              <m:sub>
                <m:r>
                  <m:rPr>
                    <m:sty m:val="p"/>
                  </m:rPr>
                  <w:rPr>
                    <w:rFonts w:ascii="Cambria Math" w:hAnsi="Cambria Math"/>
                    <w:szCs w:val="21"/>
                  </w:rPr>
                  <m:t>t</m:t>
                </m:r>
                <m:ctrlPr>
                  <w:rPr>
                    <w:rFonts w:ascii="Cambria Math" w:hAnsi="Cambria Math"/>
                    <w:szCs w:val="21"/>
                  </w:rPr>
                </m:ctrlPr>
              </m:sub>
            </m:sSub>
            <m:ctrlPr>
              <w:rPr>
                <w:rFonts w:ascii="Cambria Math" w:hAnsi="Cambria Math"/>
                <w:szCs w:val="21"/>
              </w:rPr>
            </m:ctrlPr>
          </m:den>
        </m:f>
        <m:r>
          <m:rPr>
            <m:sty m:val="p"/>
          </m:rPr>
          <w:rPr>
            <w:rFonts w:ascii="Cambria Math" w:hAnsi="Cambria Math"/>
            <w:szCs w:val="21"/>
          </w:rPr>
          <m:t>×100%</m:t>
        </m:r>
      </m:oMath>
      <w:r>
        <w:rPr>
          <w:rFonts w:ascii="Times New Roman"/>
          <w:szCs w:val="21"/>
        </w:rPr>
        <w:tab/>
      </w:r>
      <w:r>
        <w:rPr>
          <w:rFonts w:ascii="Times New Roman"/>
          <w:szCs w:val="21"/>
        </w:rPr>
        <w:t>(A.5)</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r>
          <m:rPr/>
          <w:rPr>
            <w:rFonts w:hint="eastAsia" w:ascii="Cambria Math" w:hAnsi="Cambria Math"/>
            <w:szCs w:val="21"/>
          </w:rPr>
          <m:t>S</m:t>
        </m:r>
        <m:r>
          <m:rPr/>
          <w:rPr>
            <w:rFonts w:ascii="Cambria Math" w:hAnsi="Cambria Math"/>
            <w:szCs w:val="21"/>
          </w:rPr>
          <m:t>TBR</m:t>
        </m:r>
      </m:oMath>
      <w:r>
        <w:rPr>
          <w:rFonts w:ascii="Times New Roman"/>
          <w:szCs w:val="21"/>
        </w:rPr>
        <w:t>——</w:t>
      </w:r>
      <w:r>
        <w:rPr>
          <w:rFonts w:hint="eastAsia" w:ascii="Times New Roman"/>
          <w:szCs w:val="21"/>
        </w:rPr>
        <w:t>标准周转箱比重</w:t>
      </w:r>
      <w:r>
        <w:rPr>
          <w:rFonts w:ascii="Times New Roman"/>
          <w:szCs w:val="21"/>
        </w:rPr>
        <w:t>；</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TTB</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oMath>
      <w:r>
        <w:rPr>
          <w:rFonts w:ascii="Times New Roman"/>
          <w:szCs w:val="21"/>
        </w:rPr>
        <w:t>——</w:t>
      </w:r>
      <w:r>
        <w:rPr>
          <w:rFonts w:hint="eastAsia" w:ascii="Times New Roman"/>
          <w:color w:val="000000" w:themeColor="text1"/>
          <w14:textFill>
            <w14:solidFill>
              <w14:schemeClr w14:val="tx1"/>
            </w14:solidFill>
          </w14:textFill>
        </w:rPr>
        <w:t>自有和租用</w:t>
      </w:r>
      <w:r>
        <w:rPr>
          <w:rFonts w:hint="eastAsia" w:ascii="Times New Roman"/>
          <w:szCs w:val="21"/>
        </w:rPr>
        <w:t>标准周转箱数量，单位为</w:t>
      </w:r>
      <w:r>
        <w:rPr>
          <w:rFonts w:hint="eastAsia" w:ascii="Times New Roman" w:hAnsiTheme="minorEastAsia"/>
          <w:szCs w:val="21"/>
        </w:rPr>
        <w:t>个</w:t>
      </w:r>
      <w:r>
        <w:rPr>
          <w:rFonts w:ascii="Times New Roman"/>
          <w:szCs w:val="21"/>
        </w:rPr>
        <w:t>；</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TTB</m:t>
            </m:r>
            <m:ctrlPr>
              <w:rPr>
                <w:rFonts w:ascii="Cambria Math" w:hAnsi="Cambria Math"/>
                <w:szCs w:val="21"/>
              </w:rPr>
            </m:ctrlPr>
          </m:e>
          <m:sub>
            <m:r>
              <m:rPr>
                <m:sty m:val="p"/>
              </m:rPr>
              <w:rPr>
                <w:rFonts w:ascii="Cambria Math" w:hAnsi="Cambria Math"/>
                <w:szCs w:val="21"/>
              </w:rPr>
              <m:t>t</m:t>
            </m:r>
            <m:ctrlPr>
              <w:rPr>
                <w:rFonts w:ascii="Cambria Math" w:hAnsi="Cambria Math"/>
                <w:szCs w:val="21"/>
              </w:rPr>
            </m:ctrlPr>
          </m:sub>
        </m:sSub>
      </m:oMath>
      <w:r>
        <w:rPr>
          <w:rFonts w:ascii="Times New Roman"/>
          <w:szCs w:val="21"/>
        </w:rPr>
        <w:t>——</w:t>
      </w:r>
      <w:r>
        <w:rPr>
          <w:rFonts w:hint="eastAsia" w:ascii="Times New Roman"/>
          <w:color w:val="000000" w:themeColor="text1"/>
          <w14:textFill>
            <w14:solidFill>
              <w14:schemeClr w14:val="tx1"/>
            </w14:solidFill>
          </w14:textFill>
        </w:rPr>
        <w:t>自有和租用</w:t>
      </w:r>
      <w:r>
        <w:rPr>
          <w:rFonts w:hint="eastAsia" w:ascii="Times New Roman"/>
          <w:szCs w:val="21"/>
        </w:rPr>
        <w:t>周转箱总数量</w:t>
      </w:r>
      <w:r>
        <w:rPr>
          <w:rFonts w:ascii="Times New Roman"/>
          <w:szCs w:val="21"/>
        </w:rPr>
        <w:t>，单位为</w:t>
      </w:r>
      <w:r>
        <w:rPr>
          <w:rFonts w:hint="eastAsia" w:ascii="Times New Roman" w:hAnsiTheme="minorEastAsia"/>
          <w:szCs w:val="21"/>
        </w:rPr>
        <w:t>个</w:t>
      </w:r>
      <w:r>
        <w:rPr>
          <w:rFonts w:ascii="Times New Roman"/>
          <w:szCs w:val="21"/>
        </w:rPr>
        <w:t>。</w:t>
      </w:r>
    </w:p>
    <w:p>
      <w:pPr>
        <w:pStyle w:val="23"/>
        <w:spacing w:before="120" w:beforeLines="50"/>
        <w:ind w:firstLine="360"/>
        <w:rPr>
          <w:rFonts w:ascii="Times New Roman"/>
          <w:sz w:val="18"/>
          <w:szCs w:val="18"/>
        </w:rPr>
      </w:pPr>
      <w:r>
        <w:rPr>
          <w:rFonts w:hint="eastAsia" w:ascii="黑体" w:hAnsi="黑体" w:eastAsia="黑体"/>
          <w:sz w:val="18"/>
          <w:szCs w:val="18"/>
        </w:rPr>
        <w:t>注：</w:t>
      </w:r>
      <w:r>
        <w:rPr>
          <w:rFonts w:hint="eastAsia" w:ascii="Times New Roman"/>
          <w:sz w:val="18"/>
          <w:szCs w:val="18"/>
        </w:rPr>
        <w:t>标准周转箱是指运输包装模数满足GB/T 4892要求的周转箱。</w:t>
      </w:r>
    </w:p>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铁路和水路货运周转量比重</w:t>
      </w:r>
    </w:p>
    <w:p>
      <w:pPr>
        <w:pStyle w:val="23"/>
        <w:rPr>
          <w:szCs w:val="21"/>
        </w:rPr>
      </w:pPr>
      <w:r>
        <w:rPr>
          <w:rFonts w:hint="eastAsia" w:ascii="Times New Roman"/>
          <w:color w:val="000000" w:themeColor="text1"/>
          <w14:textFill>
            <w14:solidFill>
              <w14:schemeClr w14:val="tx1"/>
            </w14:solidFill>
          </w14:textFill>
        </w:rPr>
        <w:t>考核期内，</w:t>
      </w:r>
      <w:r>
        <w:rPr>
          <w:rFonts w:hint="eastAsia"/>
          <w:szCs w:val="21"/>
        </w:rPr>
        <w:t>企业铁路和水路货运周转量之和与物流运输业务总货运周转量之比，</w:t>
      </w:r>
      <w:r>
        <w:rPr>
          <w:rFonts w:hint="eastAsia" w:ascii="Times New Roman"/>
          <w:color w:val="000000" w:themeColor="text1"/>
          <w14:textFill>
            <w14:solidFill>
              <w14:schemeClr w14:val="tx1"/>
            </w14:solidFill>
          </w14:textFill>
        </w:rPr>
        <w:t>其计算方法按公式（</w:t>
      </w:r>
      <w:r>
        <w:rPr>
          <w:rFonts w:ascii="Times New Roman"/>
          <w:color w:val="000000" w:themeColor="text1"/>
          <w14:textFill>
            <w14:solidFill>
              <w14:schemeClr w14:val="tx1"/>
            </w14:solidFill>
          </w14:textFill>
        </w:rPr>
        <w:t>A.</w:t>
      </w:r>
      <w:r>
        <w:rPr>
          <w:rFonts w:hint="eastAsia" w:ascii="Times New Roman"/>
          <w:color w:val="000000" w:themeColor="text1"/>
          <w14:textFill>
            <w14:solidFill>
              <w14:schemeClr w14:val="tx1"/>
            </w14:solidFill>
          </w14:textFill>
        </w:rPr>
        <w:t>6）：</w:t>
      </w:r>
    </w:p>
    <w:p>
      <w:pPr>
        <w:pStyle w:val="31"/>
        <w:rPr>
          <w:rFonts w:ascii="Times New Roman"/>
          <w:szCs w:val="21"/>
        </w:rPr>
      </w:pPr>
      <w:r>
        <w:rPr>
          <w:rFonts w:ascii="Times New Roman"/>
          <w:szCs w:val="21"/>
        </w:rPr>
        <w:tab/>
      </w:r>
      <m:oMath>
        <m:r>
          <m:rPr/>
          <w:rPr>
            <w:rFonts w:ascii="Cambria Math" w:hAnsi="Cambria Math"/>
            <w:sz w:val="18"/>
            <w:szCs w:val="18"/>
          </w:rPr>
          <m:t>UOABR</m:t>
        </m:r>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r>
                  <m:rPr/>
                  <w:rPr>
                    <w:rFonts w:ascii="Cambria Math" w:hAnsi="Cambria Math"/>
                    <w:sz w:val="18"/>
                    <w:szCs w:val="18"/>
                  </w:rPr>
                  <m:t>O</m:t>
                </m:r>
                <m:ctrlPr>
                  <w:rPr>
                    <w:rFonts w:ascii="Cambria Math" w:hAnsi="Cambria Math"/>
                    <w:sz w:val="18"/>
                    <w:szCs w:val="18"/>
                  </w:rPr>
                </m:ctrlPr>
              </m:e>
              <m:sub>
                <m:r>
                  <m:rPr>
                    <m:sty m:val="p"/>
                  </m:rPr>
                  <w:rPr>
                    <w:rFonts w:ascii="Cambria Math" w:hAnsi="Cambria Math"/>
                    <w:sz w:val="18"/>
                    <w:szCs w:val="18"/>
                  </w:rPr>
                  <m:t>a</m:t>
                </m:r>
                <m:ctrlPr>
                  <w:rPr>
                    <w:rFonts w:ascii="Cambria Math" w:hAnsi="Cambria Math"/>
                    <w:sz w:val="18"/>
                    <w:szCs w:val="18"/>
                  </w:rPr>
                </m:ctrlPr>
              </m:sub>
            </m:sSub>
            <m:r>
              <m:rPr>
                <m:sty m:val="p"/>
              </m:rPr>
              <w:rPr>
                <w:rFonts w:ascii="Cambria Math" w:hAnsi="Cambria Math"/>
                <w:sz w:val="18"/>
                <w:szCs w:val="18"/>
              </w:rPr>
              <m:t>+</m:t>
            </m:r>
            <m:sSub>
              <m:sSubPr>
                <m:ctrlPr>
                  <w:rPr>
                    <w:rFonts w:ascii="Cambria Math" w:hAnsi="Cambria Math"/>
                    <w:sz w:val="18"/>
                    <w:szCs w:val="18"/>
                  </w:rPr>
                </m:ctrlPr>
              </m:sSubPr>
              <m:e>
                <m:r>
                  <m:rPr/>
                  <w:rPr>
                    <w:rFonts w:ascii="Cambria Math" w:hAnsi="Cambria Math"/>
                    <w:sz w:val="18"/>
                    <w:szCs w:val="18"/>
                  </w:rPr>
                  <m:t>O</m:t>
                </m:r>
                <m:ctrlPr>
                  <w:rPr>
                    <w:rFonts w:ascii="Cambria Math" w:hAnsi="Cambria Math"/>
                    <w:sz w:val="18"/>
                    <w:szCs w:val="18"/>
                  </w:rPr>
                </m:ctrlPr>
              </m:e>
              <m:sub>
                <m:r>
                  <m:rPr>
                    <m:sty m:val="p"/>
                  </m:rPr>
                  <w:rPr>
                    <w:rFonts w:ascii="Cambria Math" w:hAnsi="Cambria Math"/>
                    <w:sz w:val="18"/>
                    <w:szCs w:val="18"/>
                  </w:rPr>
                  <m:t>b</m:t>
                </m:r>
                <m:ctrlPr>
                  <w:rPr>
                    <w:rFonts w:ascii="Cambria Math" w:hAnsi="Cambria Math"/>
                    <w:sz w:val="18"/>
                    <w:szCs w:val="18"/>
                  </w:rPr>
                </m:ctrlPr>
              </m:sub>
            </m:sSub>
            <m:ctrlPr>
              <w:rPr>
                <w:rFonts w:ascii="Cambria Math" w:hAnsi="Cambria Math"/>
                <w:sz w:val="18"/>
                <w:szCs w:val="18"/>
              </w:rPr>
            </m:ctrlPr>
          </m:num>
          <m:den>
            <m:r>
              <m:rPr/>
              <w:rPr>
                <w:rFonts w:ascii="Cambria Math" w:hAnsi="Cambria Math"/>
                <w:sz w:val="18"/>
                <w:szCs w:val="18"/>
              </w:rPr>
              <m:t>TCT</m:t>
            </m:r>
            <m:ctrlPr>
              <w:rPr>
                <w:rFonts w:ascii="Cambria Math" w:hAnsi="Cambria Math"/>
                <w:sz w:val="18"/>
                <w:szCs w:val="18"/>
              </w:rPr>
            </m:ctrlPr>
          </m:den>
        </m:f>
        <m:r>
          <m:rPr>
            <m:sty m:val="p"/>
          </m:rPr>
          <w:rPr>
            <w:rFonts w:ascii="Cambria Math" w:hAnsi="Cambria Math"/>
            <w:szCs w:val="21"/>
          </w:rPr>
          <m:t>×100%</m:t>
        </m:r>
      </m:oMath>
      <w:r>
        <w:rPr>
          <w:rFonts w:ascii="Times New Roman"/>
          <w:szCs w:val="21"/>
        </w:rPr>
        <w:tab/>
      </w:r>
      <w:r>
        <w:rPr>
          <w:rFonts w:ascii="Times New Roman"/>
          <w:szCs w:val="21"/>
        </w:rPr>
        <w:t>(A.6)</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r>
          <m:rPr/>
          <w:rPr>
            <w:rFonts w:ascii="Cambria Math" w:hAnsi="Cambria Math"/>
            <w:szCs w:val="21"/>
          </w:rPr>
          <m:t>UOABR</m:t>
        </m:r>
      </m:oMath>
      <w:r>
        <w:rPr>
          <w:rFonts w:ascii="Times New Roman"/>
          <w:szCs w:val="21"/>
        </w:rPr>
        <w:t>——铁路和水路货运周转量比重；</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O</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oMath>
      <w:r>
        <w:rPr>
          <w:rFonts w:ascii="Times New Roman"/>
          <w:szCs w:val="21"/>
        </w:rPr>
        <w:t>——铁路货运周转量，单位为吨·千米（t·km）；</w:t>
      </w:r>
    </w:p>
    <w:p>
      <w:pPr>
        <w:pStyle w:val="23"/>
        <w:ind w:firstLine="0" w:firstLineChars="0"/>
        <w:rPr>
          <w:rFonts w:ascii="Times New Roman"/>
          <w:szCs w:val="21"/>
        </w:rPr>
      </w:pPr>
      <m:oMath>
        <m:sSub>
          <m:sSubPr>
            <m:ctrlPr>
              <w:rPr>
                <w:rFonts w:ascii="Cambria Math" w:hAnsi="Cambria Math"/>
                <w:szCs w:val="21"/>
              </w:rPr>
            </m:ctrlPr>
          </m:sSubPr>
          <m:e>
            <m:r>
              <m:rPr/>
              <w:rPr>
                <w:rFonts w:ascii="Cambria Math" w:hAnsi="Cambria Math"/>
                <w:szCs w:val="21"/>
              </w:rPr>
              <m:t>O</m:t>
            </m:r>
            <m:ctrlPr>
              <w:rPr>
                <w:rFonts w:ascii="Cambria Math" w:hAnsi="Cambria Math"/>
                <w:szCs w:val="21"/>
              </w:rPr>
            </m:ctrlPr>
          </m:e>
          <m:sub>
            <m:r>
              <m:rPr>
                <m:sty m:val="p"/>
              </m:rPr>
              <w:rPr>
                <w:rFonts w:ascii="Cambria Math" w:hAnsi="Cambria Math"/>
                <w:szCs w:val="21"/>
              </w:rPr>
              <m:t>b</m:t>
            </m:r>
            <m:ctrlPr>
              <w:rPr>
                <w:rFonts w:ascii="Cambria Math" w:hAnsi="Cambria Math"/>
                <w:szCs w:val="21"/>
              </w:rPr>
            </m:ctrlPr>
          </m:sub>
        </m:sSub>
      </m:oMath>
      <w:r>
        <w:rPr>
          <w:rFonts w:ascii="Times New Roman"/>
          <w:szCs w:val="21"/>
        </w:rPr>
        <w:t>——水路货运周转量，单位为吨·千米（t·km）；</w:t>
      </w:r>
    </w:p>
    <w:p>
      <w:pPr>
        <w:pStyle w:val="23"/>
        <w:ind w:firstLine="0" w:firstLineChars="0"/>
        <w:rPr>
          <w:rFonts w:ascii="Times New Roman"/>
          <w:szCs w:val="21"/>
        </w:rPr>
      </w:pPr>
      <m:oMath>
        <m:r>
          <m:rPr/>
          <w:rPr>
            <w:rFonts w:ascii="Cambria Math" w:hAnsi="Cambria Math"/>
            <w:szCs w:val="21"/>
          </w:rPr>
          <m:t>TCT</m:t>
        </m:r>
      </m:oMath>
      <w:r>
        <w:rPr>
          <w:rFonts w:ascii="Times New Roman"/>
          <w:szCs w:val="21"/>
        </w:rPr>
        <w:t>——</w:t>
      </w:r>
      <w:r>
        <w:rPr>
          <w:rFonts w:ascii="Times New Roman"/>
          <w:color w:val="000000" w:themeColor="text1"/>
          <w:szCs w:val="21"/>
          <w14:textFill>
            <w14:solidFill>
              <w14:schemeClr w14:val="tx1"/>
            </w14:solidFill>
          </w14:textFill>
        </w:rPr>
        <w:t>物流运输业务总货运周转量</w:t>
      </w:r>
      <w:r>
        <w:rPr>
          <w:rFonts w:ascii="Times New Roman"/>
          <w:szCs w:val="21"/>
        </w:rPr>
        <w:t>，单位为吨·千米（t·km）。</w:t>
      </w:r>
    </w:p>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实载率</w:t>
      </w:r>
    </w:p>
    <w:p>
      <w:pPr>
        <w:pStyle w:val="23"/>
        <w:rPr>
          <w:rFonts w:ascii="Times New Roman"/>
          <w:color w:val="000000" w:themeColor="text1"/>
          <w14:textFill>
            <w14:solidFill>
              <w14:schemeClr w14:val="tx1"/>
            </w14:solidFill>
          </w14:textFill>
        </w:rPr>
      </w:pPr>
      <w:r>
        <w:rPr>
          <w:rFonts w:hint="eastAsia" w:ascii="Times New Roman"/>
          <w:szCs w:val="21"/>
        </w:rPr>
        <w:t>考核期内，企业</w:t>
      </w:r>
      <w:r>
        <w:rPr>
          <w:rFonts w:hint="eastAsia" w:ascii="Times New Roman"/>
          <w:color w:val="000000" w:themeColor="text1"/>
          <w14:textFill>
            <w14:solidFill>
              <w14:schemeClr w14:val="tx1"/>
            </w14:solidFill>
          </w14:textFill>
        </w:rPr>
        <w:t>货运周转量与额定载重货运周转量之比。额定载重货运周转量是</w:t>
      </w:r>
      <w:bookmarkStart w:id="60" w:name="_Hlk117169568"/>
      <w:r>
        <w:rPr>
          <w:rFonts w:hint="eastAsia" w:ascii="Times New Roman"/>
          <w:color w:val="000000" w:themeColor="text1"/>
          <w14:textFill>
            <w14:solidFill>
              <w14:schemeClr w14:val="tx1"/>
            </w14:solidFill>
          </w14:textFill>
        </w:rPr>
        <w:t>企业自有和租用货运汽车、货运火车</w:t>
      </w:r>
      <w:r>
        <w:t>、载货河运船舶、载货海运船舶或</w:t>
      </w:r>
      <w:r>
        <w:rPr>
          <w:rFonts w:hint="eastAsia" w:ascii="Times New Roman"/>
          <w:color w:val="000000" w:themeColor="text1"/>
          <w14:textFill>
            <w14:solidFill>
              <w14:schemeClr w14:val="tx1"/>
            </w14:solidFill>
          </w14:textFill>
        </w:rPr>
        <w:t>货运飞机额定载重量与实际总行驶里程的乘积</w:t>
      </w:r>
      <w:bookmarkEnd w:id="60"/>
      <w:r>
        <w:rPr>
          <w:rFonts w:hint="eastAsia" w:ascii="Times New Roman"/>
          <w:color w:val="000000" w:themeColor="text1"/>
          <w14:textFill>
            <w14:solidFill>
              <w14:schemeClr w14:val="tx1"/>
            </w14:solidFill>
          </w14:textFill>
        </w:rPr>
        <w:t>。</w:t>
      </w:r>
      <w:r>
        <w:rPr>
          <w:rFonts w:hint="eastAsia" w:ascii="Times New Roman"/>
          <w:szCs w:val="21"/>
        </w:rPr>
        <w:t>实载率</w:t>
      </w:r>
      <w:r>
        <w:rPr>
          <w:rFonts w:hint="eastAsia" w:ascii="Times New Roman"/>
          <w:color w:val="000000" w:themeColor="text1"/>
          <w14:textFill>
            <w14:solidFill>
              <w14:schemeClr w14:val="tx1"/>
            </w14:solidFill>
          </w14:textFill>
        </w:rPr>
        <w:t>计算方法按公式（</w:t>
      </w:r>
      <w:r>
        <w:rPr>
          <w:rFonts w:ascii="Times New Roman"/>
          <w:color w:val="000000" w:themeColor="text1"/>
          <w14:textFill>
            <w14:solidFill>
              <w14:schemeClr w14:val="tx1"/>
            </w14:solidFill>
          </w14:textFill>
        </w:rPr>
        <w:t>A.</w:t>
      </w:r>
      <w:r>
        <w:rPr>
          <w:rFonts w:hint="eastAsia" w:ascii="Times New Roman"/>
          <w:color w:val="000000" w:themeColor="text1"/>
          <w14:textFill>
            <w14:solidFill>
              <w14:schemeClr w14:val="tx1"/>
            </w14:solidFill>
          </w14:textFill>
        </w:rPr>
        <w:t>7）：</w:t>
      </w:r>
    </w:p>
    <w:p>
      <w:pPr>
        <w:pStyle w:val="31"/>
        <w:rPr>
          <w:rFonts w:ascii="Times New Roman"/>
          <w:szCs w:val="21"/>
        </w:rPr>
      </w:pPr>
      <w:r>
        <w:rPr>
          <w:rFonts w:ascii="Times New Roman"/>
          <w:szCs w:val="21"/>
        </w:rPr>
        <w:tab/>
      </w:r>
      <w:bookmarkStart w:id="61" w:name="_Hlk117169642"/>
      <m:oMath>
        <m:sSub>
          <m:sSubPr>
            <m:ctrlPr>
              <w:rPr>
                <w:rFonts w:ascii="Cambria Math" w:hAnsi="Cambria Math" w:eastAsia="黑体"/>
                <w:i/>
                <w:kern w:val="2"/>
                <w:szCs w:val="21"/>
              </w:rPr>
            </m:ctrlPr>
          </m:sSubPr>
          <m:e>
            <m:r>
              <m:rPr/>
              <w:rPr>
                <w:rFonts w:ascii="Cambria Math" w:hAnsi="Cambria Math" w:eastAsia="黑体"/>
                <w:kern w:val="2"/>
                <w:szCs w:val="21"/>
              </w:rPr>
              <m:t>LF</m:t>
            </m:r>
            <m:ctrlPr>
              <w:rPr>
                <w:rFonts w:ascii="Cambria Math" w:hAnsi="Cambria Math" w:eastAsia="黑体"/>
                <w:i/>
                <w:kern w:val="2"/>
                <w:szCs w:val="21"/>
              </w:rPr>
            </m:ctrlPr>
          </m:e>
          <m:sub>
            <m:r>
              <m:rPr/>
              <w:rPr>
                <w:rFonts w:ascii="Cambria Math" w:hAnsi="Cambria Math" w:eastAsia="黑体"/>
                <w:kern w:val="2"/>
                <w:szCs w:val="21"/>
              </w:rPr>
              <m:t>x</m:t>
            </m:r>
            <m:ctrlPr>
              <w:rPr>
                <w:rFonts w:ascii="Cambria Math" w:hAnsi="Cambria Math" w:eastAsia="黑体"/>
                <w:i/>
                <w:kern w:val="2"/>
                <w:szCs w:val="21"/>
              </w:rPr>
            </m:ctrlPr>
          </m:sub>
        </m:sSub>
        <m:r>
          <m:rPr>
            <m:sty m:val="p"/>
          </m:rPr>
          <w:rPr>
            <w:rFonts w:ascii="Cambria Math" w:hAnsi="Cambria Math" w:eastAsia="黑体"/>
            <w:kern w:val="2"/>
            <w:szCs w:val="21"/>
          </w:rPr>
          <m:t>=</m:t>
        </m:r>
        <m:f>
          <m:fPr>
            <m:ctrlPr>
              <w:rPr>
                <w:rFonts w:ascii="Cambria Math" w:hAnsi="Cambria Math" w:eastAsia="黑体"/>
                <w:kern w:val="2"/>
                <w:szCs w:val="21"/>
              </w:rPr>
            </m:ctrlPr>
          </m:fPr>
          <m:num>
            <m:nary>
              <m:naryPr>
                <m:chr m:val="∑"/>
                <m:limLoc m:val="undOvr"/>
                <m:ctrlPr>
                  <w:rPr>
                    <w:rFonts w:ascii="Cambria Math" w:hAnsi="Cambria Math" w:eastAsia="黑体"/>
                    <w:i/>
                    <w:kern w:val="2"/>
                    <w:szCs w:val="21"/>
                  </w:rPr>
                </m:ctrlPr>
              </m:naryPr>
              <m:sub>
                <m:r>
                  <m:rPr/>
                  <w:rPr>
                    <w:rFonts w:ascii="Cambria Math" w:hAnsi="Cambria Math" w:eastAsia="黑体"/>
                    <w:szCs w:val="21"/>
                  </w:rPr>
                  <m:t>1</m:t>
                </m:r>
                <m:ctrlPr>
                  <w:rPr>
                    <w:rFonts w:ascii="Cambria Math" w:hAnsi="Cambria Math" w:eastAsia="黑体"/>
                    <w:i/>
                    <w:kern w:val="2"/>
                    <w:szCs w:val="21"/>
                  </w:rPr>
                </m:ctrlPr>
              </m:sub>
              <m:sup>
                <m:r>
                  <m:rPr/>
                  <w:rPr>
                    <w:rFonts w:ascii="Cambria Math" w:hAnsi="Cambria Math" w:eastAsia="黑体"/>
                    <w:szCs w:val="21"/>
                  </w:rPr>
                  <m:t>i</m:t>
                </m:r>
                <m:ctrlPr>
                  <w:rPr>
                    <w:rFonts w:ascii="Cambria Math" w:hAnsi="Cambria Math" w:eastAsia="黑体"/>
                    <w:i/>
                    <w:kern w:val="2"/>
                    <w:szCs w:val="21"/>
                  </w:rPr>
                </m:ctrlPr>
              </m:sup>
              <m:e>
                <m:sSub>
                  <m:sSubPr>
                    <m:ctrlPr>
                      <w:rPr>
                        <w:rFonts w:ascii="Cambria Math" w:hAnsi="Cambria Math" w:eastAsia="黑体"/>
                        <w:i/>
                        <w:kern w:val="2"/>
                        <w:szCs w:val="21"/>
                      </w:rPr>
                    </m:ctrlPr>
                  </m:sSubPr>
                  <m:e>
                    <m:r>
                      <m:rPr/>
                      <w:rPr>
                        <w:rFonts w:ascii="Cambria Math" w:hAnsi="Cambria Math" w:eastAsia="黑体"/>
                        <w:szCs w:val="21"/>
                      </w:rPr>
                      <m:t>ACT</m:t>
                    </m:r>
                    <m:ctrlPr>
                      <w:rPr>
                        <w:rFonts w:ascii="Cambria Math" w:hAnsi="Cambria Math" w:eastAsia="黑体"/>
                        <w:i/>
                        <w:kern w:val="2"/>
                        <w:szCs w:val="21"/>
                      </w:rPr>
                    </m:ctrlPr>
                  </m:e>
                  <m:sub>
                    <m:r>
                      <m:rPr/>
                      <w:rPr>
                        <w:rFonts w:ascii="Cambria Math" w:hAnsi="Cambria Math" w:eastAsia="黑体"/>
                        <w:kern w:val="2"/>
                        <w:szCs w:val="21"/>
                      </w:rPr>
                      <m:t>x</m:t>
                    </m:r>
                    <m:r>
                      <m:rPr/>
                      <w:rPr>
                        <w:rFonts w:ascii="Cambria Math" w:hAnsi="Cambria Math" w:eastAsia="黑体"/>
                        <w:szCs w:val="21"/>
                      </w:rPr>
                      <m:t>i</m:t>
                    </m:r>
                    <m:ctrlPr>
                      <w:rPr>
                        <w:rFonts w:ascii="Cambria Math" w:hAnsi="Cambria Math" w:eastAsia="黑体"/>
                        <w:i/>
                        <w:kern w:val="2"/>
                        <w:szCs w:val="21"/>
                      </w:rPr>
                    </m:ctrlPr>
                  </m:sub>
                </m:sSub>
                <m:ctrlPr>
                  <w:rPr>
                    <w:rFonts w:ascii="Cambria Math" w:hAnsi="Cambria Math" w:eastAsia="黑体"/>
                    <w:i/>
                    <w:kern w:val="2"/>
                    <w:szCs w:val="21"/>
                  </w:rPr>
                </m:ctrlPr>
              </m:e>
            </m:nary>
            <m:ctrlPr>
              <w:rPr>
                <w:rFonts w:ascii="Cambria Math" w:hAnsi="Cambria Math" w:eastAsia="黑体"/>
                <w:kern w:val="2"/>
                <w:szCs w:val="21"/>
              </w:rPr>
            </m:ctrlPr>
          </m:num>
          <m:den>
            <m:nary>
              <m:naryPr>
                <m:chr m:val="∑"/>
                <m:limLoc m:val="undOvr"/>
                <m:ctrlPr>
                  <w:rPr>
                    <w:rFonts w:ascii="Cambria Math" w:hAnsi="Cambria Math" w:eastAsia="黑体"/>
                    <w:i/>
                    <w:kern w:val="2"/>
                    <w:szCs w:val="21"/>
                  </w:rPr>
                </m:ctrlPr>
              </m:naryPr>
              <m:sub>
                <m:r>
                  <m:rPr/>
                  <w:rPr>
                    <w:rFonts w:ascii="Cambria Math" w:hAnsi="Cambria Math" w:eastAsia="黑体"/>
                    <w:szCs w:val="21"/>
                  </w:rPr>
                  <m:t>1</m:t>
                </m:r>
                <m:ctrlPr>
                  <w:rPr>
                    <w:rFonts w:ascii="Cambria Math" w:hAnsi="Cambria Math" w:eastAsia="黑体"/>
                    <w:i/>
                    <w:kern w:val="2"/>
                    <w:szCs w:val="21"/>
                  </w:rPr>
                </m:ctrlPr>
              </m:sub>
              <m:sup>
                <m:r>
                  <m:rPr/>
                  <w:rPr>
                    <w:rFonts w:ascii="Cambria Math" w:hAnsi="Cambria Math" w:eastAsia="黑体"/>
                    <w:szCs w:val="21"/>
                  </w:rPr>
                  <m:t>i</m:t>
                </m:r>
                <m:ctrlPr>
                  <w:rPr>
                    <w:rFonts w:ascii="Cambria Math" w:hAnsi="Cambria Math" w:eastAsia="黑体"/>
                    <w:i/>
                    <w:kern w:val="2"/>
                    <w:szCs w:val="21"/>
                  </w:rPr>
                </m:ctrlPr>
              </m:sup>
              <m:e>
                <m:sSub>
                  <m:sSubPr>
                    <m:ctrlPr>
                      <w:rPr>
                        <w:rFonts w:ascii="Cambria Math" w:hAnsi="Cambria Math" w:eastAsia="黑体"/>
                        <w:i/>
                        <w:kern w:val="2"/>
                        <w:szCs w:val="21"/>
                      </w:rPr>
                    </m:ctrlPr>
                  </m:sSubPr>
                  <m:e>
                    <m:r>
                      <m:rPr/>
                      <w:rPr>
                        <w:rFonts w:ascii="Cambria Math" w:hAnsi="Cambria Math" w:eastAsia="黑体"/>
                        <w:szCs w:val="21"/>
                      </w:rPr>
                      <m:t>(LC</m:t>
                    </m:r>
                    <m:ctrlPr>
                      <w:rPr>
                        <w:rFonts w:ascii="Cambria Math" w:hAnsi="Cambria Math" w:eastAsia="黑体"/>
                        <w:i/>
                        <w:kern w:val="2"/>
                        <w:szCs w:val="21"/>
                      </w:rPr>
                    </m:ctrlPr>
                  </m:e>
                  <m:sub>
                    <m:r>
                      <m:rPr/>
                      <w:rPr>
                        <w:rFonts w:ascii="Cambria Math" w:hAnsi="Cambria Math" w:eastAsia="黑体"/>
                        <w:kern w:val="2"/>
                        <w:szCs w:val="21"/>
                      </w:rPr>
                      <m:t>x</m:t>
                    </m:r>
                    <m:r>
                      <m:rPr/>
                      <w:rPr>
                        <w:rFonts w:ascii="Cambria Math" w:hAnsi="Cambria Math" w:eastAsia="黑体"/>
                        <w:szCs w:val="21"/>
                      </w:rPr>
                      <m:t>i</m:t>
                    </m:r>
                    <m:ctrlPr>
                      <w:rPr>
                        <w:rFonts w:ascii="Cambria Math" w:hAnsi="Cambria Math" w:eastAsia="黑体"/>
                        <w:i/>
                        <w:kern w:val="2"/>
                        <w:szCs w:val="21"/>
                      </w:rPr>
                    </m:ctrlPr>
                  </m:sub>
                </m:sSub>
                <m:r>
                  <m:rPr/>
                  <w:rPr>
                    <w:rFonts w:ascii="Cambria Math" w:hAnsi="Cambria Math" w:eastAsia="黑体"/>
                    <w:sz w:val="18"/>
                    <w:szCs w:val="18"/>
                  </w:rPr>
                  <m:t>×</m:t>
                </m:r>
                <m:sSub>
                  <m:sSubPr>
                    <m:ctrlPr>
                      <w:rPr>
                        <w:rFonts w:ascii="Cambria Math" w:hAnsi="Cambria Math" w:eastAsia="黑体"/>
                        <w:i/>
                        <w:kern w:val="2"/>
                        <w:szCs w:val="21"/>
                      </w:rPr>
                    </m:ctrlPr>
                  </m:sSubPr>
                  <m:e>
                    <m:r>
                      <m:rPr/>
                      <w:rPr>
                        <w:rFonts w:ascii="Cambria Math" w:hAnsi="Cambria Math" w:eastAsia="黑体"/>
                        <w:szCs w:val="21"/>
                      </w:rPr>
                      <m:t>ATM</m:t>
                    </m:r>
                    <m:ctrlPr>
                      <w:rPr>
                        <w:rFonts w:ascii="Cambria Math" w:hAnsi="Cambria Math" w:eastAsia="黑体"/>
                        <w:i/>
                        <w:kern w:val="2"/>
                        <w:szCs w:val="21"/>
                      </w:rPr>
                    </m:ctrlPr>
                  </m:e>
                  <m:sub>
                    <m:r>
                      <m:rPr/>
                      <w:rPr>
                        <w:rFonts w:ascii="Cambria Math" w:hAnsi="Cambria Math" w:eastAsia="黑体"/>
                        <w:kern w:val="2"/>
                        <w:szCs w:val="21"/>
                      </w:rPr>
                      <m:t>x</m:t>
                    </m:r>
                    <m:r>
                      <m:rPr/>
                      <w:rPr>
                        <w:rFonts w:ascii="Cambria Math" w:hAnsi="Cambria Math" w:eastAsia="黑体"/>
                        <w:szCs w:val="21"/>
                      </w:rPr>
                      <m:t>i</m:t>
                    </m:r>
                    <m:ctrlPr>
                      <w:rPr>
                        <w:rFonts w:ascii="Cambria Math" w:hAnsi="Cambria Math" w:eastAsia="黑体"/>
                        <w:i/>
                        <w:kern w:val="2"/>
                        <w:szCs w:val="21"/>
                      </w:rPr>
                    </m:ctrlPr>
                  </m:sub>
                </m:sSub>
                <m:r>
                  <m:rPr/>
                  <w:rPr>
                    <w:rFonts w:ascii="Cambria Math" w:hAnsi="Cambria Math" w:eastAsia="黑体"/>
                    <w:kern w:val="2"/>
                    <w:szCs w:val="21"/>
                  </w:rPr>
                  <m:t>)</m:t>
                </m:r>
                <m:ctrlPr>
                  <w:rPr>
                    <w:rFonts w:ascii="Cambria Math" w:hAnsi="Cambria Math" w:eastAsia="黑体"/>
                    <w:i/>
                    <w:kern w:val="2"/>
                    <w:szCs w:val="21"/>
                  </w:rPr>
                </m:ctrlPr>
              </m:e>
            </m:nary>
            <m:ctrlPr>
              <w:rPr>
                <w:rFonts w:ascii="Cambria Math" w:hAnsi="Cambria Math" w:eastAsia="黑体"/>
                <w:kern w:val="2"/>
                <w:szCs w:val="21"/>
              </w:rPr>
            </m:ctrlPr>
          </m:den>
        </m:f>
        <m:r>
          <m:rPr>
            <m:sty m:val="p"/>
          </m:rPr>
          <w:rPr>
            <w:rFonts w:ascii="Cambria Math" w:hAnsi="Cambria Math" w:eastAsia="黑体"/>
            <w:kern w:val="2"/>
            <w:szCs w:val="21"/>
          </w:rPr>
          <m:t>×100%</m:t>
        </m:r>
      </m:oMath>
      <w:bookmarkEnd w:id="61"/>
      <w:r>
        <w:rPr>
          <w:rFonts w:ascii="Times New Roman"/>
          <w:szCs w:val="21"/>
        </w:rPr>
        <w:tab/>
      </w:r>
      <w:r>
        <w:rPr>
          <w:rFonts w:ascii="Times New Roman"/>
          <w:szCs w:val="21"/>
        </w:rPr>
        <w:t>(A.7)</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sSub>
          <m:sSubPr>
            <m:ctrlPr>
              <w:rPr>
                <w:rFonts w:ascii="Cambria Math" w:hAnsi="Cambria Math" w:eastAsia="黑体"/>
                <w:i/>
                <w:kern w:val="2"/>
                <w:szCs w:val="21"/>
              </w:rPr>
            </m:ctrlPr>
          </m:sSubPr>
          <m:e>
            <m:r>
              <m:rPr/>
              <w:rPr>
                <w:rFonts w:ascii="Cambria Math" w:hAnsi="Cambria Math" w:eastAsia="黑体"/>
                <w:kern w:val="2"/>
                <w:szCs w:val="21"/>
              </w:rPr>
              <m:t>LF</m:t>
            </m:r>
            <m:ctrlPr>
              <w:rPr>
                <w:rFonts w:ascii="Cambria Math" w:hAnsi="Cambria Math" w:eastAsia="黑体"/>
                <w:i/>
                <w:kern w:val="2"/>
                <w:szCs w:val="21"/>
              </w:rPr>
            </m:ctrlPr>
          </m:e>
          <m:sub>
            <m:r>
              <m:rPr/>
              <w:rPr>
                <w:rFonts w:ascii="Cambria Math" w:hAnsi="Cambria Math" w:eastAsia="黑体"/>
                <w:kern w:val="2"/>
                <w:szCs w:val="21"/>
              </w:rPr>
              <m:t>x</m:t>
            </m:r>
            <m:ctrlPr>
              <w:rPr>
                <w:rFonts w:ascii="Cambria Math" w:hAnsi="Cambria Math" w:eastAsia="黑体"/>
                <w:i/>
                <w:kern w:val="2"/>
                <w:szCs w:val="21"/>
              </w:rPr>
            </m:ctrlPr>
          </m:sub>
        </m:sSub>
      </m:oMath>
      <w:r>
        <w:rPr>
          <w:rFonts w:ascii="Times New Roman"/>
          <w:szCs w:val="21"/>
        </w:rPr>
        <w:t>——</w:t>
      </w:r>
      <w:r>
        <w:rPr>
          <w:rFonts w:ascii="Times New Roman"/>
          <w:color w:val="000000" w:themeColor="text1"/>
          <w14:textFill>
            <w14:solidFill>
              <w14:schemeClr w14:val="tx1"/>
            </w14:solidFill>
          </w14:textFill>
        </w:rPr>
        <w:t>货运汽车（货运火车、载货河运船舶、载货海运船舶或货运飞机）</w:t>
      </w:r>
      <w:r>
        <w:rPr>
          <w:rFonts w:ascii="Times New Roman"/>
          <w:szCs w:val="21"/>
        </w:rPr>
        <w:t>实载率；</w:t>
      </w:r>
    </w:p>
    <w:p>
      <w:pPr>
        <w:pStyle w:val="23"/>
        <w:ind w:firstLine="0" w:firstLineChars="0"/>
        <w:rPr>
          <w:rFonts w:ascii="Times New Roman"/>
          <w:szCs w:val="21"/>
        </w:rPr>
      </w:pPr>
      <m:oMath>
        <m:sSub>
          <m:sSubPr>
            <m:ctrlPr>
              <w:rPr>
                <w:rFonts w:ascii="Cambria Math" w:hAnsi="Cambria Math" w:eastAsia="黑体"/>
                <w:i/>
                <w:kern w:val="2"/>
                <w:szCs w:val="21"/>
              </w:rPr>
            </m:ctrlPr>
          </m:sSubPr>
          <m:e>
            <m:r>
              <m:rPr/>
              <w:rPr>
                <w:rFonts w:ascii="Cambria Math" w:hAnsi="Cambria Math" w:eastAsia="黑体"/>
                <w:szCs w:val="21"/>
              </w:rPr>
              <m:t>ACT</m:t>
            </m:r>
            <m:ctrlPr>
              <w:rPr>
                <w:rFonts w:ascii="Cambria Math" w:hAnsi="Cambria Math" w:eastAsia="黑体"/>
                <w:i/>
                <w:kern w:val="2"/>
                <w:szCs w:val="21"/>
              </w:rPr>
            </m:ctrlPr>
          </m:e>
          <m:sub>
            <m:r>
              <m:rPr/>
              <w:rPr>
                <w:rFonts w:ascii="Cambria Math" w:hAnsi="Cambria Math" w:eastAsia="黑体"/>
                <w:kern w:val="2"/>
                <w:szCs w:val="21"/>
              </w:rPr>
              <m:t>x</m:t>
            </m:r>
            <m:r>
              <m:rPr/>
              <w:rPr>
                <w:rFonts w:ascii="Cambria Math" w:hAnsi="Cambria Math" w:eastAsia="黑体"/>
                <w:szCs w:val="21"/>
              </w:rPr>
              <m:t>i</m:t>
            </m:r>
            <m:ctrlPr>
              <w:rPr>
                <w:rFonts w:ascii="Cambria Math" w:hAnsi="Cambria Math" w:eastAsia="黑体"/>
                <w:i/>
                <w:kern w:val="2"/>
                <w:szCs w:val="21"/>
              </w:rPr>
            </m:ctrlPr>
          </m:sub>
        </m:sSub>
      </m:oMath>
      <w:r>
        <w:rPr>
          <w:rFonts w:ascii="Times New Roman"/>
          <w:szCs w:val="21"/>
        </w:rPr>
        <w:t>——</w:t>
      </w:r>
      <w:r>
        <w:rPr>
          <w:rFonts w:hint="eastAsia" w:ascii="Times New Roman"/>
          <w:szCs w:val="21"/>
        </w:rPr>
        <w:t>自有和租用</w:t>
      </w:r>
      <m:oMath>
        <m:r>
          <m:rPr/>
          <w:rPr>
            <w:rFonts w:ascii="Cambria Math" w:hAnsi="Cambria Math" w:eastAsia="黑体"/>
            <w:szCs w:val="21"/>
          </w:rPr>
          <m:t>i</m:t>
        </m:r>
      </m:oMath>
      <w:r>
        <w:rPr>
          <w:rFonts w:ascii="Times New Roman"/>
          <w:color w:val="000000" w:themeColor="text1"/>
          <w14:textFill>
            <w14:solidFill>
              <w14:schemeClr w14:val="tx1"/>
            </w14:solidFill>
          </w14:textFill>
        </w:rPr>
        <w:t>货运</w:t>
      </w:r>
      <w:r>
        <w:rPr>
          <w:rFonts w:hint="eastAsia" w:ascii="Times New Roman"/>
          <w:color w:val="000000" w:themeColor="text1"/>
          <w14:textFill>
            <w14:solidFill>
              <w14:schemeClr w14:val="tx1"/>
            </w14:solidFill>
          </w14:textFill>
        </w:rPr>
        <w:t>汽车</w:t>
      </w:r>
      <w:r>
        <w:rPr>
          <w:rFonts w:ascii="Times New Roman"/>
          <w:color w:val="000000" w:themeColor="text1"/>
          <w14:textFill>
            <w14:solidFill>
              <w14:schemeClr w14:val="tx1"/>
            </w14:solidFill>
          </w14:textFill>
        </w:rPr>
        <w:t>（货运火车、载货河运船舶、载货海运船舶或货运飞机）的实际货运周转量</w:t>
      </w:r>
      <w:r>
        <w:rPr>
          <w:rFonts w:ascii="Times New Roman"/>
          <w:szCs w:val="21"/>
        </w:rPr>
        <w:t>，单位为吨</w:t>
      </w:r>
      <w:r>
        <w:rPr>
          <w:rFonts w:hint="eastAsia" w:ascii="Times New Roman"/>
          <w:szCs w:val="21"/>
        </w:rPr>
        <w:t>·</w:t>
      </w:r>
      <w:r>
        <w:rPr>
          <w:rFonts w:ascii="Times New Roman"/>
          <w:szCs w:val="21"/>
        </w:rPr>
        <w:t>千米（t·km）；</w:t>
      </w:r>
    </w:p>
    <w:p>
      <w:pPr>
        <w:pStyle w:val="23"/>
        <w:ind w:firstLine="0" w:firstLineChars="0"/>
        <w:rPr>
          <w:rFonts w:ascii="Times New Roman"/>
          <w:szCs w:val="21"/>
        </w:rPr>
      </w:pPr>
      <m:oMath>
        <m:sSub>
          <m:sSubPr>
            <m:ctrlPr>
              <w:rPr>
                <w:rFonts w:ascii="Cambria Math" w:hAnsi="Cambria Math" w:eastAsia="黑体"/>
                <w:i/>
                <w:kern w:val="2"/>
                <w:szCs w:val="21"/>
              </w:rPr>
            </m:ctrlPr>
          </m:sSubPr>
          <m:e>
            <m:r>
              <m:rPr/>
              <w:rPr>
                <w:rFonts w:ascii="Cambria Math" w:hAnsi="Cambria Math" w:eastAsia="黑体"/>
                <w:szCs w:val="21"/>
              </w:rPr>
              <m:t>LC</m:t>
            </m:r>
            <m:ctrlPr>
              <w:rPr>
                <w:rFonts w:ascii="Cambria Math" w:hAnsi="Cambria Math" w:eastAsia="黑体"/>
                <w:i/>
                <w:kern w:val="2"/>
                <w:szCs w:val="21"/>
              </w:rPr>
            </m:ctrlPr>
          </m:e>
          <m:sub>
            <m:r>
              <m:rPr/>
              <w:rPr>
                <w:rFonts w:ascii="Cambria Math" w:hAnsi="Cambria Math" w:eastAsia="黑体"/>
                <w:kern w:val="2"/>
                <w:szCs w:val="21"/>
              </w:rPr>
              <m:t>x</m:t>
            </m:r>
            <m:r>
              <m:rPr/>
              <w:rPr>
                <w:rFonts w:ascii="Cambria Math" w:hAnsi="Cambria Math" w:eastAsia="黑体"/>
                <w:szCs w:val="21"/>
              </w:rPr>
              <m:t>i</m:t>
            </m:r>
            <m:ctrlPr>
              <w:rPr>
                <w:rFonts w:ascii="Cambria Math" w:hAnsi="Cambria Math" w:eastAsia="黑体"/>
                <w:i/>
                <w:kern w:val="2"/>
                <w:szCs w:val="21"/>
              </w:rPr>
            </m:ctrlPr>
          </m:sub>
        </m:sSub>
      </m:oMath>
      <w:r>
        <w:rPr>
          <w:rFonts w:ascii="Times New Roman"/>
          <w:szCs w:val="21"/>
        </w:rPr>
        <w:t>——</w:t>
      </w:r>
      <w:r>
        <w:rPr>
          <w:rFonts w:hint="eastAsia" w:ascii="Times New Roman"/>
          <w:szCs w:val="21"/>
        </w:rPr>
        <w:t>自有和租用</w:t>
      </w:r>
      <m:oMath>
        <m:r>
          <m:rPr/>
          <w:rPr>
            <w:rFonts w:ascii="Cambria Math" w:hAnsi="Cambria Math" w:eastAsia="黑体"/>
            <w:szCs w:val="21"/>
          </w:rPr>
          <m:t>i</m:t>
        </m:r>
      </m:oMath>
      <w:r>
        <w:rPr>
          <w:rFonts w:ascii="Times New Roman"/>
          <w:color w:val="000000" w:themeColor="text1"/>
          <w14:textFill>
            <w14:solidFill>
              <w14:schemeClr w14:val="tx1"/>
            </w14:solidFill>
          </w14:textFill>
        </w:rPr>
        <w:t>货运车辆（货运火车、载货河运船舶、载货海运船舶或货运飞机）的额定载重量</w:t>
      </w:r>
      <w:r>
        <w:rPr>
          <w:rFonts w:ascii="Times New Roman"/>
          <w:szCs w:val="21"/>
        </w:rPr>
        <w:t>，单位为吨（t）；</w:t>
      </w:r>
    </w:p>
    <w:p>
      <w:pPr>
        <w:pStyle w:val="23"/>
        <w:ind w:firstLine="0" w:firstLineChars="0"/>
        <w:rPr>
          <w:rFonts w:ascii="Times New Roman"/>
          <w:szCs w:val="21"/>
        </w:rPr>
      </w:pPr>
      <m:oMath>
        <m:sSub>
          <m:sSubPr>
            <m:ctrlPr>
              <w:rPr>
                <w:rFonts w:ascii="Cambria Math" w:hAnsi="Cambria Math" w:eastAsia="黑体"/>
                <w:i/>
                <w:kern w:val="2"/>
                <w:szCs w:val="21"/>
              </w:rPr>
            </m:ctrlPr>
          </m:sSubPr>
          <m:e>
            <m:r>
              <m:rPr/>
              <w:rPr>
                <w:rFonts w:ascii="Cambria Math" w:hAnsi="Cambria Math" w:eastAsia="黑体"/>
                <w:szCs w:val="21"/>
              </w:rPr>
              <m:t>ATM</m:t>
            </m:r>
            <m:ctrlPr>
              <w:rPr>
                <w:rFonts w:ascii="Cambria Math" w:hAnsi="Cambria Math" w:eastAsia="黑体"/>
                <w:i/>
                <w:kern w:val="2"/>
                <w:szCs w:val="21"/>
              </w:rPr>
            </m:ctrlPr>
          </m:e>
          <m:sub>
            <m:r>
              <m:rPr/>
              <w:rPr>
                <w:rFonts w:ascii="Cambria Math" w:hAnsi="Cambria Math" w:eastAsia="黑体"/>
                <w:kern w:val="2"/>
                <w:szCs w:val="21"/>
              </w:rPr>
              <m:t>x</m:t>
            </m:r>
            <m:r>
              <m:rPr/>
              <w:rPr>
                <w:rFonts w:ascii="Cambria Math" w:hAnsi="Cambria Math" w:eastAsia="黑体"/>
                <w:szCs w:val="21"/>
              </w:rPr>
              <m:t>i</m:t>
            </m:r>
            <m:ctrlPr>
              <w:rPr>
                <w:rFonts w:ascii="Cambria Math" w:hAnsi="Cambria Math" w:eastAsia="黑体"/>
                <w:i/>
                <w:kern w:val="2"/>
                <w:szCs w:val="21"/>
              </w:rPr>
            </m:ctrlPr>
          </m:sub>
        </m:sSub>
      </m:oMath>
      <w:r>
        <w:rPr>
          <w:rFonts w:ascii="Times New Roman"/>
          <w:szCs w:val="21"/>
        </w:rPr>
        <w:t>——</w:t>
      </w:r>
      <w:r>
        <w:rPr>
          <w:rFonts w:hint="eastAsia" w:ascii="Times New Roman"/>
          <w:szCs w:val="21"/>
        </w:rPr>
        <w:t>自有和租用</w:t>
      </w:r>
      <m:oMath>
        <m:r>
          <m:rPr/>
          <w:rPr>
            <w:rFonts w:ascii="Cambria Math" w:hAnsi="Cambria Math" w:eastAsia="黑体"/>
            <w:szCs w:val="21"/>
          </w:rPr>
          <m:t>i</m:t>
        </m:r>
      </m:oMath>
      <w:r>
        <w:rPr>
          <w:rFonts w:ascii="Times New Roman"/>
          <w:color w:val="000000" w:themeColor="text1"/>
          <w14:textFill>
            <w14:solidFill>
              <w14:schemeClr w14:val="tx1"/>
            </w14:solidFill>
          </w14:textFill>
        </w:rPr>
        <w:t>货运车辆（货运火车、载货河运船舶、载货海运船舶或货运飞机）的</w:t>
      </w:r>
      <w:r>
        <w:rPr>
          <w:rFonts w:ascii="Times New Roman"/>
          <w:szCs w:val="21"/>
        </w:rPr>
        <w:t>实际总行驶里程，单位为千米（km）。</w:t>
      </w:r>
    </w:p>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库存周转次数</w:t>
      </w:r>
    </w:p>
    <w:p>
      <w:pPr>
        <w:pStyle w:val="23"/>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考核期内，企业自有和租用仓库出库总重量与平均库存重量之比，其</w:t>
      </w:r>
      <w:r>
        <w:rPr>
          <w:rFonts w:hint="eastAsia" w:ascii="Times New Roman"/>
          <w:color w:val="000000" w:themeColor="text1"/>
          <w14:textFill>
            <w14:solidFill>
              <w14:schemeClr w14:val="tx1"/>
            </w14:solidFill>
          </w14:textFill>
        </w:rPr>
        <w:t>计算方法按公式（</w:t>
      </w:r>
      <w:r>
        <w:rPr>
          <w:rFonts w:ascii="Times New Roman"/>
          <w:color w:val="000000" w:themeColor="text1"/>
          <w14:textFill>
            <w14:solidFill>
              <w14:schemeClr w14:val="tx1"/>
            </w14:solidFill>
          </w14:textFill>
        </w:rPr>
        <w:t>A.</w:t>
      </w:r>
      <w:r>
        <w:rPr>
          <w:rFonts w:hint="eastAsia" w:ascii="Times New Roman"/>
          <w:color w:val="000000" w:themeColor="text1"/>
          <w14:textFill>
            <w14:solidFill>
              <w14:schemeClr w14:val="tx1"/>
            </w14:solidFill>
          </w14:textFill>
        </w:rPr>
        <w:t>8）：</w:t>
      </w:r>
    </w:p>
    <w:p>
      <w:pPr>
        <w:pStyle w:val="31"/>
        <w:rPr>
          <w:rFonts w:ascii="Times New Roman"/>
          <w:szCs w:val="21"/>
        </w:rPr>
      </w:pPr>
      <w:r>
        <w:rPr>
          <w:rFonts w:ascii="Times New Roman"/>
          <w:szCs w:val="21"/>
        </w:rPr>
        <w:tab/>
      </w:r>
      <m:oMath>
        <m:r>
          <m:rPr/>
          <w:rPr>
            <w:rFonts w:ascii="Cambria Math" w:hAnsi="Cambria Math"/>
            <w:szCs w:val="21"/>
          </w:rPr>
          <m:t>ITO</m:t>
        </m:r>
        <m:r>
          <m:rPr>
            <m:sty m:val="p"/>
          </m:rPr>
          <w:rPr>
            <w:rFonts w:ascii="Cambria Math" w:hAnsi="Cambria Math"/>
            <w:szCs w:val="21"/>
          </w:rPr>
          <m:t>=</m:t>
        </m:r>
        <m:f>
          <m:fPr>
            <m:ctrlPr>
              <w:rPr>
                <w:rFonts w:ascii="Cambria Math" w:hAnsi="Cambria Math"/>
                <w:szCs w:val="21"/>
              </w:rPr>
            </m:ctrlPr>
          </m:fPr>
          <m:num>
            <m:r>
              <m:rPr/>
              <w:rPr>
                <w:rFonts w:ascii="Cambria Math" w:hAnsi="Cambria Math"/>
                <w:szCs w:val="21"/>
              </w:rPr>
              <m:t>TIA</m:t>
            </m:r>
            <m:ctrlPr>
              <w:rPr>
                <w:rFonts w:ascii="Cambria Math" w:hAnsi="Cambria Math"/>
                <w:szCs w:val="21"/>
              </w:rPr>
            </m:ctrlPr>
          </m:num>
          <m:den>
            <m:r>
              <m:rPr/>
              <w:rPr>
                <w:rFonts w:ascii="Cambria Math" w:hAnsi="Cambria Math"/>
                <w:szCs w:val="21"/>
              </w:rPr>
              <m:t>IA</m:t>
            </m:r>
            <m:ctrlPr>
              <w:rPr>
                <w:rFonts w:ascii="Cambria Math" w:hAnsi="Cambria Math"/>
                <w:szCs w:val="21"/>
              </w:rPr>
            </m:ctrlPr>
          </m:den>
        </m:f>
      </m:oMath>
      <w:r>
        <w:rPr>
          <w:rFonts w:ascii="Times New Roman"/>
          <w:szCs w:val="21"/>
        </w:rPr>
        <w:tab/>
      </w:r>
      <w:r>
        <w:rPr>
          <w:rFonts w:ascii="Times New Roman"/>
          <w:szCs w:val="21"/>
        </w:rPr>
        <w:t>(A.8)</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r>
          <m:rPr/>
          <w:rPr>
            <w:rFonts w:ascii="Cambria Math" w:hAnsi="Cambria Math"/>
            <w:szCs w:val="21"/>
          </w:rPr>
          <m:t>ITO</m:t>
        </m:r>
      </m:oMath>
      <w:r>
        <w:rPr>
          <w:rFonts w:ascii="Times New Roman"/>
          <w:szCs w:val="21"/>
        </w:rPr>
        <w:t>——</w:t>
      </w:r>
      <w:r>
        <w:rPr>
          <w:rFonts w:hint="eastAsia" w:ascii="Times New Roman"/>
          <w:color w:val="000000" w:themeColor="text1"/>
          <w:szCs w:val="21"/>
          <w14:textFill>
            <w14:solidFill>
              <w14:schemeClr w14:val="tx1"/>
            </w14:solidFill>
          </w14:textFill>
        </w:rPr>
        <w:t>企业库存周转次数，单位为次/年</w:t>
      </w:r>
      <w:r>
        <w:rPr>
          <w:rFonts w:hint="eastAsia" w:ascii="Times New Roman"/>
          <w:szCs w:val="21"/>
        </w:rPr>
        <w:t>；</w:t>
      </w:r>
    </w:p>
    <w:p>
      <w:pPr>
        <w:pStyle w:val="23"/>
        <w:ind w:firstLine="0" w:firstLineChars="0"/>
        <w:rPr>
          <w:rFonts w:ascii="Times New Roman"/>
          <w:szCs w:val="21"/>
        </w:rPr>
      </w:pPr>
      <m:oMath>
        <m:r>
          <m:rPr/>
          <w:rPr>
            <w:rFonts w:ascii="Cambria Math" w:hAnsi="Cambria Math"/>
            <w:szCs w:val="21"/>
          </w:rPr>
          <m:t>TIA</m:t>
        </m:r>
      </m:oMath>
      <w:r>
        <w:rPr>
          <w:rFonts w:ascii="Times New Roman"/>
          <w:szCs w:val="21"/>
        </w:rPr>
        <w:t>——</w:t>
      </w:r>
      <w:r>
        <w:rPr>
          <w:rFonts w:hint="eastAsia" w:ascii="Times New Roman"/>
          <w:color w:val="000000" w:themeColor="text1"/>
          <w:szCs w:val="21"/>
          <w14:textFill>
            <w14:solidFill>
              <w14:schemeClr w14:val="tx1"/>
            </w14:solidFill>
          </w14:textFill>
        </w:rPr>
        <w:t>企业自有和租用仓库出库总重量</w:t>
      </w:r>
      <w:r>
        <w:rPr>
          <w:rFonts w:ascii="Times New Roman"/>
          <w:szCs w:val="21"/>
        </w:rPr>
        <w:t>，</w:t>
      </w:r>
      <w:r>
        <w:rPr>
          <w:rFonts w:hint="eastAsia" w:ascii="Times New Roman"/>
          <w:szCs w:val="21"/>
        </w:rPr>
        <w:t>单位为吨（t）</w:t>
      </w:r>
      <w:r>
        <w:rPr>
          <w:rFonts w:ascii="Times New Roman"/>
          <w:szCs w:val="21"/>
        </w:rPr>
        <w:t>；</w:t>
      </w:r>
    </w:p>
    <w:p>
      <w:pPr>
        <w:pStyle w:val="23"/>
        <w:ind w:firstLine="0" w:firstLineChars="0"/>
        <w:rPr>
          <w:rFonts w:ascii="Times New Roman"/>
          <w:szCs w:val="21"/>
        </w:rPr>
      </w:pPr>
      <m:oMath>
        <m:r>
          <m:rPr/>
          <w:rPr>
            <w:rFonts w:ascii="Cambria Math" w:hAnsi="Cambria Math"/>
            <w:szCs w:val="21"/>
          </w:rPr>
          <m:t>IA</m:t>
        </m:r>
      </m:oMath>
      <w:r>
        <w:rPr>
          <w:rFonts w:ascii="Times New Roman"/>
          <w:szCs w:val="21"/>
        </w:rPr>
        <w:t>——</w:t>
      </w:r>
      <w:r>
        <w:rPr>
          <w:rFonts w:hint="eastAsia" w:ascii="Times New Roman"/>
          <w:color w:val="000000" w:themeColor="text1"/>
          <w:szCs w:val="21"/>
          <w14:textFill>
            <w14:solidFill>
              <w14:schemeClr w14:val="tx1"/>
            </w14:solidFill>
          </w14:textFill>
        </w:rPr>
        <w:t>企业自有和租用仓库平均库存重量</w:t>
      </w:r>
      <w:r>
        <w:rPr>
          <w:rFonts w:ascii="Times New Roman"/>
          <w:szCs w:val="21"/>
        </w:rPr>
        <w:t>，单位</w:t>
      </w:r>
      <w:r>
        <w:rPr>
          <w:rFonts w:hint="eastAsia" w:ascii="Times New Roman"/>
          <w:szCs w:val="21"/>
        </w:rPr>
        <w:t>为吨（t）。</w:t>
      </w:r>
    </w:p>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能源消耗总量</w:t>
      </w:r>
    </w:p>
    <w:p>
      <w:pPr>
        <w:pStyle w:val="23"/>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考核期内，企业或项目消耗的各种能源的总和，其</w:t>
      </w:r>
      <w:r>
        <w:rPr>
          <w:rFonts w:hint="eastAsia" w:ascii="Times New Roman"/>
          <w:color w:val="000000" w:themeColor="text1"/>
          <w14:textFill>
            <w14:solidFill>
              <w14:schemeClr w14:val="tx1"/>
            </w14:solidFill>
          </w14:textFill>
        </w:rPr>
        <w:t>计算方法按公式（</w:t>
      </w:r>
      <w:r>
        <w:rPr>
          <w:rFonts w:ascii="Times New Roman"/>
          <w:color w:val="000000" w:themeColor="text1"/>
          <w14:textFill>
            <w14:solidFill>
              <w14:schemeClr w14:val="tx1"/>
            </w14:solidFill>
          </w14:textFill>
        </w:rPr>
        <w:t>A.</w:t>
      </w:r>
      <w:r>
        <w:rPr>
          <w:rFonts w:hint="eastAsia" w:ascii="Times New Roman"/>
          <w:color w:val="000000" w:themeColor="text1"/>
          <w14:textFill>
            <w14:solidFill>
              <w14:schemeClr w14:val="tx1"/>
            </w14:solidFill>
          </w14:textFill>
        </w:rPr>
        <w:t>9）：</w:t>
      </w:r>
    </w:p>
    <w:p>
      <w:pPr>
        <w:pStyle w:val="31"/>
        <w:rPr>
          <w:rFonts w:ascii="Times New Roman"/>
          <w:szCs w:val="21"/>
        </w:rPr>
      </w:pPr>
      <w:bookmarkStart w:id="62" w:name="_Hlk121561262"/>
      <w:r>
        <w:rPr>
          <w:rFonts w:ascii="Times New Roman"/>
          <w:szCs w:val="21"/>
        </w:rPr>
        <w:tab/>
      </w:r>
      <w:r>
        <w:rPr>
          <w:rFonts w:ascii="Times New Roman"/>
          <w:i/>
          <w:iCs/>
          <w:szCs w:val="21"/>
        </w:rPr>
        <w:t>E</w:t>
      </w:r>
      <m:oMath>
        <m:r>
          <m:rPr>
            <m:sty m:val="p"/>
          </m:rPr>
          <w:rPr>
            <w:rFonts w:ascii="Cambria Math" w:hAnsi="Cambria Math"/>
            <w:szCs w:val="21"/>
          </w:rPr>
          <m:t>=</m:t>
        </m:r>
        <m:nary>
          <m:naryPr>
            <m:chr m:val="∑"/>
            <m:limLoc m:val="subSup"/>
            <m:ctrlPr>
              <w:rPr>
                <w:rFonts w:ascii="Cambria Math" w:hAnsi="Cambria Math" w:eastAsia="黑体"/>
                <w:kern w:val="2"/>
                <w:szCs w:val="21"/>
              </w:rPr>
            </m:ctrlPr>
          </m:naryPr>
          <m:sub>
            <m:r>
              <m:rPr/>
              <w:rPr>
                <w:rFonts w:ascii="Cambria Math" w:hAnsi="Cambria Math" w:eastAsia="黑体"/>
                <w:kern w:val="2"/>
                <w:szCs w:val="21"/>
              </w:rPr>
              <m:t>i=1</m:t>
            </m:r>
            <m:ctrlPr>
              <w:rPr>
                <w:rFonts w:ascii="Cambria Math" w:hAnsi="Cambria Math" w:eastAsia="黑体"/>
                <w:kern w:val="2"/>
                <w:szCs w:val="21"/>
              </w:rPr>
            </m:ctrlPr>
          </m:sub>
          <m:sup>
            <m:r>
              <m:rPr/>
              <w:rPr>
                <w:rFonts w:ascii="Cambria Math" w:hAnsi="Cambria Math" w:eastAsia="黑体"/>
                <w:kern w:val="2"/>
                <w:szCs w:val="21"/>
              </w:rPr>
              <m:t>n</m:t>
            </m:r>
            <m:ctrlPr>
              <w:rPr>
                <w:rFonts w:ascii="Cambria Math" w:hAnsi="Cambria Math" w:eastAsia="黑体"/>
                <w:kern w:val="2"/>
                <w:szCs w:val="21"/>
              </w:rPr>
            </m:ctrlPr>
          </m:sup>
          <m:e>
            <m:r>
              <m:rPr/>
              <w:rPr>
                <w:rFonts w:ascii="Cambria Math" w:hAnsi="Cambria Math" w:eastAsia="黑体"/>
                <w:kern w:val="2"/>
                <w:szCs w:val="21"/>
              </w:rPr>
              <m:t>(</m:t>
            </m:r>
            <m:sSub>
              <m:sSubPr>
                <m:ctrlPr>
                  <w:rPr>
                    <w:rFonts w:ascii="Cambria Math" w:hAnsi="Cambria Math" w:eastAsia="黑体"/>
                    <w:i/>
                    <w:kern w:val="2"/>
                    <w:szCs w:val="21"/>
                  </w:rPr>
                </m:ctrlPr>
              </m:sSubPr>
              <m:e>
                <m:r>
                  <m:rPr/>
                  <w:rPr>
                    <w:rFonts w:ascii="Cambria Math" w:hAnsi="Cambria Math" w:eastAsia="黑体"/>
                    <w:kern w:val="2"/>
                    <w:szCs w:val="21"/>
                  </w:rPr>
                  <m:t>E</m:t>
                </m:r>
                <m:ctrlPr>
                  <w:rPr>
                    <w:rFonts w:ascii="Cambria Math" w:hAnsi="Cambria Math" w:eastAsia="黑体"/>
                    <w:i/>
                    <w:kern w:val="2"/>
                    <w:szCs w:val="21"/>
                  </w:rPr>
                </m:ctrlPr>
              </m:e>
              <m:sub>
                <m:r>
                  <m:rPr/>
                  <w:rPr>
                    <w:rFonts w:ascii="Cambria Math" w:hAnsi="Cambria Math" w:eastAsia="黑体"/>
                    <w:kern w:val="2"/>
                    <w:szCs w:val="21"/>
                  </w:rPr>
                  <m:t>i</m:t>
                </m:r>
                <m:ctrlPr>
                  <w:rPr>
                    <w:rFonts w:ascii="Cambria Math" w:hAnsi="Cambria Math" w:eastAsia="黑体"/>
                    <w:i/>
                    <w:kern w:val="2"/>
                    <w:szCs w:val="21"/>
                  </w:rPr>
                </m:ctrlPr>
              </m:sub>
            </m:sSub>
            <m:r>
              <m:rPr/>
              <w:rPr>
                <w:rFonts w:ascii="Cambria Math" w:hAnsi="Cambria Math" w:eastAsia="黑体"/>
                <w:kern w:val="2"/>
                <w:szCs w:val="21"/>
              </w:rPr>
              <m:t>×</m:t>
            </m:r>
            <m:sSub>
              <m:sSubPr>
                <m:ctrlPr>
                  <w:rPr>
                    <w:rFonts w:ascii="Cambria Math" w:hAnsi="Cambria Math" w:eastAsia="黑体"/>
                    <w:i/>
                    <w:kern w:val="2"/>
                    <w:szCs w:val="21"/>
                  </w:rPr>
                </m:ctrlPr>
              </m:sSubPr>
              <m:e>
                <m:r>
                  <m:rPr/>
                  <w:rPr>
                    <w:rFonts w:ascii="Cambria Math" w:hAnsi="Cambria Math" w:eastAsia="黑体"/>
                    <w:kern w:val="2"/>
                    <w:szCs w:val="21"/>
                  </w:rPr>
                  <m:t>k</m:t>
                </m:r>
                <m:ctrlPr>
                  <w:rPr>
                    <w:rFonts w:ascii="Cambria Math" w:hAnsi="Cambria Math" w:eastAsia="黑体"/>
                    <w:i/>
                    <w:kern w:val="2"/>
                    <w:szCs w:val="21"/>
                  </w:rPr>
                </m:ctrlPr>
              </m:e>
              <m:sub>
                <m:r>
                  <m:rPr/>
                  <w:rPr>
                    <w:rFonts w:ascii="Cambria Math" w:hAnsi="Cambria Math" w:eastAsia="黑体"/>
                    <w:kern w:val="2"/>
                    <w:szCs w:val="21"/>
                  </w:rPr>
                  <m:t>i</m:t>
                </m:r>
                <m:ctrlPr>
                  <w:rPr>
                    <w:rFonts w:ascii="Cambria Math" w:hAnsi="Cambria Math" w:eastAsia="黑体"/>
                    <w:i/>
                    <w:kern w:val="2"/>
                    <w:szCs w:val="21"/>
                  </w:rPr>
                </m:ctrlPr>
              </m:sub>
            </m:sSub>
            <m:r>
              <m:rPr/>
              <w:rPr>
                <w:rFonts w:ascii="Cambria Math" w:hAnsi="Cambria Math" w:eastAsia="黑体"/>
                <w:kern w:val="2"/>
                <w:szCs w:val="21"/>
              </w:rPr>
              <m:t>)</m:t>
            </m:r>
            <m:ctrlPr>
              <w:rPr>
                <w:rFonts w:ascii="Cambria Math" w:hAnsi="Cambria Math" w:eastAsia="黑体"/>
                <w:kern w:val="2"/>
                <w:szCs w:val="21"/>
              </w:rPr>
            </m:ctrlPr>
          </m:e>
        </m:nary>
      </m:oMath>
      <w:r>
        <w:rPr>
          <w:rFonts w:ascii="Times New Roman"/>
          <w:szCs w:val="21"/>
        </w:rPr>
        <w:tab/>
      </w:r>
      <w:r>
        <w:rPr>
          <w:rFonts w:ascii="Times New Roman"/>
          <w:szCs w:val="21"/>
        </w:rPr>
        <w:t>(A.9)</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r>
          <m:rPr/>
          <w:rPr>
            <w:rFonts w:ascii="Cambria Math" w:hAnsi="Cambria Math"/>
            <w:szCs w:val="21"/>
          </w:rPr>
          <m:t>E</m:t>
        </m:r>
      </m:oMath>
      <w:r>
        <w:rPr>
          <w:rFonts w:ascii="Times New Roman"/>
          <w:szCs w:val="21"/>
        </w:rPr>
        <w:t>——</w:t>
      </w:r>
      <w:r>
        <w:rPr>
          <w:rFonts w:hint="eastAsia" w:ascii="Times New Roman"/>
          <w:color w:val="000000" w:themeColor="text1"/>
          <w:szCs w:val="21"/>
          <w14:textFill>
            <w14:solidFill>
              <w14:schemeClr w14:val="tx1"/>
            </w14:solidFill>
          </w14:textFill>
        </w:rPr>
        <w:t>企业或项目能源消耗总量，单位为吨标准煤（t</w:t>
      </w:r>
      <w:r>
        <w:rPr>
          <w:rFonts w:ascii="Times New Roman"/>
          <w:color w:val="000000" w:themeColor="text1"/>
          <w:szCs w:val="21"/>
          <w14:textFill>
            <w14:solidFill>
              <w14:schemeClr w14:val="tx1"/>
            </w14:solidFill>
          </w14:textFill>
        </w:rPr>
        <w:t>ce</w:t>
      </w:r>
      <w:r>
        <w:rPr>
          <w:rFonts w:hint="eastAsia" w:ascii="Times New Roman"/>
          <w:color w:val="000000" w:themeColor="text1"/>
          <w:szCs w:val="21"/>
          <w14:textFill>
            <w14:solidFill>
              <w14:schemeClr w14:val="tx1"/>
            </w14:solidFill>
          </w14:textFill>
        </w:rPr>
        <w:t>）</w:t>
      </w:r>
      <w:r>
        <w:rPr>
          <w:rFonts w:hint="eastAsia" w:ascii="Times New Roman"/>
          <w:szCs w:val="21"/>
        </w:rPr>
        <w:t>；</w:t>
      </w:r>
    </w:p>
    <w:p>
      <w:pPr>
        <w:pStyle w:val="23"/>
        <w:ind w:firstLine="0" w:firstLineChars="0"/>
        <w:rPr>
          <w:rFonts w:ascii="Times New Roman"/>
          <w:szCs w:val="21"/>
        </w:rPr>
      </w:pPr>
      <w:r>
        <w:rPr>
          <w:rFonts w:hint="eastAsia" w:ascii="Times New Roman"/>
          <w:i/>
          <w:iCs/>
          <w:szCs w:val="21"/>
        </w:rPr>
        <w:t>n</w:t>
      </w:r>
      <w:r>
        <w:rPr>
          <w:rFonts w:hint="eastAsia" w:ascii="Times New Roman"/>
          <w:szCs w:val="21"/>
        </w:rPr>
        <w:t>——企业或项目消耗的能源种类数；</w:t>
      </w:r>
    </w:p>
    <w:p>
      <w:pPr>
        <w:pStyle w:val="23"/>
        <w:ind w:firstLine="0" w:firstLineChars="0"/>
        <w:rPr>
          <w:rFonts w:ascii="Times New Roman"/>
          <w:szCs w:val="21"/>
        </w:rPr>
      </w:pPr>
      <m:oMath>
        <m:sSub>
          <m:sSubPr>
            <m:ctrlPr>
              <w:rPr>
                <w:rFonts w:ascii="Cambria Math" w:hAnsi="Cambria Math" w:eastAsia="黑体" w:cs="Cambria Math"/>
                <w:i/>
                <w:kern w:val="2"/>
                <w:szCs w:val="21"/>
              </w:rPr>
            </m:ctrlPr>
          </m:sSubPr>
          <m:e>
            <m:r>
              <m:rPr/>
              <w:rPr>
                <w:rFonts w:ascii="Cambria Math" w:hAnsi="Cambria Math" w:eastAsia="黑体" w:cs="Cambria Math"/>
                <w:kern w:val="2"/>
                <w:szCs w:val="21"/>
              </w:rPr>
              <m:t>E</m:t>
            </m:r>
            <m:ctrlPr>
              <w:rPr>
                <w:rFonts w:ascii="Cambria Math" w:hAnsi="Cambria Math" w:eastAsia="黑体" w:cs="Cambria Math"/>
                <w:i/>
                <w:kern w:val="2"/>
                <w:szCs w:val="21"/>
              </w:rPr>
            </m:ctrlPr>
          </m:e>
          <m:sub>
            <m:r>
              <m:rPr/>
              <w:rPr>
                <w:rFonts w:ascii="Cambria Math" w:hAnsi="Cambria Math" w:eastAsia="黑体" w:cs="Cambria Math"/>
                <w:kern w:val="2"/>
                <w:szCs w:val="21"/>
              </w:rPr>
              <m:t>i</m:t>
            </m:r>
            <m:ctrlPr>
              <w:rPr>
                <w:rFonts w:ascii="Cambria Math" w:hAnsi="Cambria Math" w:eastAsia="黑体" w:cs="Cambria Math"/>
                <w:i/>
                <w:kern w:val="2"/>
                <w:szCs w:val="21"/>
              </w:rPr>
            </m:ctrlPr>
          </m:sub>
        </m:sSub>
      </m:oMath>
      <w:r>
        <w:rPr>
          <w:rFonts w:ascii="Times New Roman"/>
          <w:szCs w:val="21"/>
        </w:rPr>
        <w:t>——</w:t>
      </w:r>
      <w:r>
        <w:rPr>
          <w:rFonts w:hint="eastAsia" w:ascii="Times New Roman"/>
          <w:color w:val="000000" w:themeColor="text1"/>
          <w:szCs w:val="21"/>
          <w14:textFill>
            <w14:solidFill>
              <w14:schemeClr w14:val="tx1"/>
            </w14:solidFill>
          </w14:textFill>
        </w:rPr>
        <w:t>企业或项目实际消耗的第</w:t>
      </w:r>
      <w:r>
        <w:rPr>
          <w:rFonts w:hint="eastAsia" w:ascii="Times New Roman"/>
          <w:i/>
          <w:iCs/>
          <w:color w:val="000000" w:themeColor="text1"/>
          <w:szCs w:val="21"/>
          <w14:textFill>
            <w14:solidFill>
              <w14:schemeClr w14:val="tx1"/>
            </w14:solidFill>
          </w14:textFill>
        </w:rPr>
        <w:t>i</w:t>
      </w:r>
      <w:r>
        <w:rPr>
          <w:rFonts w:hint="eastAsia" w:ascii="Times New Roman"/>
          <w:color w:val="000000" w:themeColor="text1"/>
          <w:szCs w:val="21"/>
          <w14:textFill>
            <w14:solidFill>
              <w14:schemeClr w14:val="tx1"/>
            </w14:solidFill>
          </w14:textFill>
        </w:rPr>
        <w:t>种能源量</w:t>
      </w:r>
      <w:r>
        <w:rPr>
          <w:rFonts w:ascii="Times New Roman"/>
          <w:szCs w:val="21"/>
        </w:rPr>
        <w:t>，</w:t>
      </w:r>
      <w:r>
        <w:rPr>
          <w:rFonts w:hint="eastAsia" w:ascii="Times New Roman"/>
          <w:szCs w:val="21"/>
        </w:rPr>
        <w:t>单位为吨（t）、兆瓦时（</w:t>
      </w:r>
      <w:r>
        <w:rPr>
          <w:rFonts w:ascii="Times New Roman"/>
          <w:szCs w:val="21"/>
        </w:rPr>
        <w:t>MW·h</w:t>
      </w:r>
      <w:r>
        <w:rPr>
          <w:rFonts w:hint="eastAsia" w:ascii="Times New Roman"/>
          <w:szCs w:val="21"/>
        </w:rPr>
        <w:t>）、吉焦（</w:t>
      </w:r>
      <w:r>
        <w:rPr>
          <w:rFonts w:ascii="Times New Roman"/>
          <w:szCs w:val="21"/>
        </w:rPr>
        <w:t>GJ</w:t>
      </w:r>
      <w:r>
        <w:rPr>
          <w:rFonts w:hint="eastAsia" w:ascii="Times New Roman"/>
          <w:szCs w:val="21"/>
        </w:rPr>
        <w:t>）、千立方米（10</w:t>
      </w:r>
      <w:r>
        <w:rPr>
          <w:rFonts w:hint="eastAsia" w:ascii="Times New Roman"/>
          <w:szCs w:val="21"/>
          <w:vertAlign w:val="superscript"/>
        </w:rPr>
        <w:t>3</w:t>
      </w:r>
      <w:r>
        <w:rPr>
          <w:rFonts w:ascii="Times New Roman"/>
          <w:szCs w:val="21"/>
          <w:vertAlign w:val="superscript"/>
        </w:rPr>
        <w:t xml:space="preserve"> </w:t>
      </w:r>
      <w:r>
        <w:rPr>
          <w:rFonts w:ascii="Times New Roman"/>
          <w:szCs w:val="21"/>
        </w:rPr>
        <w:t>m</w:t>
      </w:r>
      <w:r>
        <w:rPr>
          <w:rFonts w:hint="eastAsia" w:ascii="Times New Roman"/>
          <w:szCs w:val="21"/>
          <w:vertAlign w:val="superscript"/>
        </w:rPr>
        <w:t>3</w:t>
      </w:r>
      <w:r>
        <w:rPr>
          <w:rFonts w:hint="eastAsia" w:ascii="Times New Roman"/>
          <w:szCs w:val="21"/>
        </w:rPr>
        <w:t>）</w:t>
      </w:r>
      <w:r>
        <w:rPr>
          <w:rFonts w:ascii="Times New Roman"/>
          <w:szCs w:val="21"/>
        </w:rPr>
        <w:t>；</w:t>
      </w:r>
    </w:p>
    <w:p>
      <w:pPr>
        <w:pStyle w:val="23"/>
        <w:ind w:firstLine="0" w:firstLineChars="0"/>
        <w:rPr>
          <w:rFonts w:ascii="Times New Roman"/>
          <w:szCs w:val="21"/>
        </w:rPr>
      </w:pPr>
      <m:oMath>
        <m:sSub>
          <m:sSubPr>
            <m:ctrlPr>
              <w:rPr>
                <w:rFonts w:ascii="Cambria Math" w:hAnsi="Cambria Math" w:eastAsia="黑体" w:cs="Cambria Math"/>
                <w:i/>
                <w:kern w:val="2"/>
                <w:szCs w:val="21"/>
              </w:rPr>
            </m:ctrlPr>
          </m:sSubPr>
          <m:e>
            <m:r>
              <m:rPr/>
              <w:rPr>
                <w:rFonts w:ascii="Cambria Math" w:hAnsi="Cambria Math" w:eastAsia="黑体" w:cs="Cambria Math"/>
                <w:kern w:val="2"/>
                <w:szCs w:val="21"/>
              </w:rPr>
              <m:t>k</m:t>
            </m:r>
            <m:ctrlPr>
              <w:rPr>
                <w:rFonts w:ascii="Cambria Math" w:hAnsi="Cambria Math" w:eastAsia="黑体" w:cs="Cambria Math"/>
                <w:i/>
                <w:kern w:val="2"/>
                <w:szCs w:val="21"/>
              </w:rPr>
            </m:ctrlPr>
          </m:e>
          <m:sub>
            <m:r>
              <m:rPr/>
              <w:rPr>
                <w:rFonts w:ascii="Cambria Math" w:hAnsi="Cambria Math" w:eastAsia="黑体" w:cs="Cambria Math"/>
                <w:kern w:val="2"/>
                <w:szCs w:val="21"/>
              </w:rPr>
              <m:t>i</m:t>
            </m:r>
            <m:ctrlPr>
              <w:rPr>
                <w:rFonts w:ascii="Cambria Math" w:hAnsi="Cambria Math" w:eastAsia="黑体" w:cs="Cambria Math"/>
                <w:i/>
                <w:kern w:val="2"/>
                <w:szCs w:val="21"/>
              </w:rPr>
            </m:ctrlPr>
          </m:sub>
        </m:sSub>
      </m:oMath>
      <w:r>
        <w:rPr>
          <w:rFonts w:ascii="Times New Roman"/>
          <w:szCs w:val="21"/>
        </w:rPr>
        <w:t>——</w:t>
      </w:r>
      <w:r>
        <w:rPr>
          <w:rFonts w:hint="eastAsia" w:ascii="Times New Roman"/>
          <w:szCs w:val="21"/>
        </w:rPr>
        <w:t>第i种能源的折标准煤系数</w:t>
      </w:r>
      <w:r>
        <w:rPr>
          <w:rFonts w:ascii="Times New Roman"/>
          <w:szCs w:val="21"/>
        </w:rPr>
        <w:t>，</w:t>
      </w:r>
      <w:r>
        <w:rPr>
          <w:rFonts w:hint="eastAsia" w:ascii="Times New Roman"/>
          <w:szCs w:val="21"/>
        </w:rPr>
        <w:t>见附录B</w:t>
      </w:r>
      <w:r>
        <w:rPr>
          <w:rFonts w:ascii="Times New Roman"/>
          <w:szCs w:val="21"/>
        </w:rPr>
        <w:t>.1</w:t>
      </w:r>
      <w:r>
        <w:rPr>
          <w:rFonts w:hint="eastAsia" w:ascii="Times New Roman"/>
          <w:szCs w:val="21"/>
        </w:rPr>
        <w:t>。</w:t>
      </w:r>
    </w:p>
    <w:bookmarkEnd w:id="62"/>
    <w:p>
      <w:pPr>
        <w:pStyle w:val="23"/>
        <w:numPr>
          <w:ilvl w:val="0"/>
          <w:numId w:val="6"/>
        </w:numPr>
        <w:spacing w:before="120" w:beforeLines="50" w:after="120" w:afterLines="50"/>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二氧化碳排放总量</w:t>
      </w:r>
    </w:p>
    <w:p>
      <w:pPr>
        <w:pStyle w:val="23"/>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考核期内，企业或项目直接产生和与能源相关间接产生的二氧化碳排放量总量，其</w:t>
      </w:r>
      <w:r>
        <w:rPr>
          <w:rFonts w:hint="eastAsia" w:ascii="Times New Roman"/>
          <w:color w:val="000000" w:themeColor="text1"/>
          <w14:textFill>
            <w14:solidFill>
              <w14:schemeClr w14:val="tx1"/>
            </w14:solidFill>
          </w14:textFill>
        </w:rPr>
        <w:t>计算方法按公式（</w:t>
      </w:r>
      <w:r>
        <w:rPr>
          <w:rFonts w:ascii="Times New Roman"/>
          <w:color w:val="000000" w:themeColor="text1"/>
          <w14:textFill>
            <w14:solidFill>
              <w14:schemeClr w14:val="tx1"/>
            </w14:solidFill>
          </w14:textFill>
        </w:rPr>
        <w:t>A.</w:t>
      </w:r>
      <w:r>
        <w:rPr>
          <w:rFonts w:hint="eastAsia" w:ascii="Times New Roman"/>
          <w:color w:val="000000" w:themeColor="text1"/>
          <w14:textFill>
            <w14:solidFill>
              <w14:schemeClr w14:val="tx1"/>
            </w14:solidFill>
          </w14:textFill>
        </w:rPr>
        <w:t>10）：</w:t>
      </w:r>
    </w:p>
    <w:p>
      <w:pPr>
        <w:pStyle w:val="31"/>
        <w:rPr>
          <w:rFonts w:ascii="Times New Roman"/>
          <w:szCs w:val="21"/>
        </w:rPr>
      </w:pPr>
      <w:r>
        <w:rPr>
          <w:rFonts w:ascii="Times New Roman"/>
          <w:szCs w:val="21"/>
        </w:rPr>
        <w:tab/>
      </w:r>
      <w:r>
        <w:rPr>
          <w:rFonts w:ascii="Times New Roman"/>
          <w:i/>
          <w:iCs/>
          <w:szCs w:val="21"/>
        </w:rPr>
        <w:t>C</w:t>
      </w:r>
      <m:oMath>
        <m:r>
          <m:rPr>
            <m:sty m:val="p"/>
          </m:rPr>
          <w:rPr>
            <w:rFonts w:ascii="Cambria Math" w:hAnsi="Cambria Math"/>
            <w:szCs w:val="21"/>
          </w:rPr>
          <m:t>=</m:t>
        </m:r>
        <m:nary>
          <m:naryPr>
            <m:chr m:val="∑"/>
            <m:limLoc m:val="subSup"/>
            <m:ctrlPr>
              <w:rPr>
                <w:rFonts w:ascii="Cambria Math" w:hAnsi="Cambria Math"/>
                <w:szCs w:val="21"/>
              </w:rPr>
            </m:ctrlPr>
          </m:naryPr>
          <m:sub>
            <m:r>
              <m:rPr/>
              <w:rPr>
                <w:rFonts w:ascii="Cambria Math" w:hAnsi="Cambria Math"/>
                <w:szCs w:val="21"/>
              </w:rPr>
              <m:t>i</m:t>
            </m:r>
            <m:r>
              <m:rPr>
                <m:sty m:val="p"/>
              </m:rPr>
              <w:rPr>
                <w:rFonts w:ascii="Cambria Math" w:hAnsi="Cambria Math"/>
                <w:szCs w:val="21"/>
              </w:rPr>
              <m:t>=1</m:t>
            </m:r>
            <m:ctrlPr>
              <w:rPr>
                <w:rFonts w:ascii="Cambria Math" w:hAnsi="Cambria Math"/>
                <w:szCs w:val="21"/>
              </w:rPr>
            </m:ctrlPr>
          </m:sub>
          <m:sup>
            <m:r>
              <m:rPr/>
              <w:rPr>
                <w:rFonts w:ascii="Cambria Math" w:hAnsi="Cambria Math"/>
                <w:szCs w:val="21"/>
              </w:rPr>
              <m:t>n</m:t>
            </m:r>
            <m:ctrlPr>
              <w:rPr>
                <w:rFonts w:ascii="Cambria Math" w:hAnsi="Cambria Math"/>
                <w:szCs w:val="21"/>
              </w:rPr>
            </m:ctrlPr>
          </m:sup>
          <m:e>
            <m:r>
              <m:rPr>
                <m:sty m:val="p"/>
              </m:rPr>
              <w:rPr>
                <w:rFonts w:ascii="Cambria Math" w:hAnsi="Cambria Math"/>
                <w:szCs w:val="21"/>
              </w:rPr>
              <m:t>(</m:t>
            </m:r>
            <m:sSub>
              <m:sSubPr>
                <m:ctrlPr>
                  <w:rPr>
                    <w:rFonts w:ascii="Cambria Math" w:hAnsi="Cambria Math"/>
                    <w:szCs w:val="21"/>
                  </w:rPr>
                </m:ctrlPr>
              </m:sSubPr>
              <m:e>
                <m:r>
                  <m:rPr/>
                  <w:rPr>
                    <w:rFonts w:ascii="Cambria Math" w:hAnsi="Cambria Math"/>
                    <w:szCs w:val="21"/>
                  </w:rPr>
                  <m:t>C</m:t>
                </m:r>
                <m:ctrlPr>
                  <w:rPr>
                    <w:rFonts w:ascii="Cambria Math" w:hAnsi="Cambria Math"/>
                    <w:szCs w:val="21"/>
                  </w:rPr>
                </m:ctrlPr>
              </m:e>
              <m:sub>
                <m:r>
                  <m:rPr/>
                  <w:rPr>
                    <w:rFonts w:ascii="Cambria Math" w:hAnsi="Cambria Math"/>
                    <w:szCs w:val="21"/>
                  </w:rPr>
                  <m:t>i</m:t>
                </m:r>
                <m:ctrlPr>
                  <w:rPr>
                    <w:rFonts w:ascii="Cambria Math" w:hAnsi="Cambria Math"/>
                    <w:szCs w:val="21"/>
                  </w:rPr>
                </m:ctrlPr>
              </m:sub>
            </m:sSub>
            <m:r>
              <m:rPr>
                <m:sty m:val="p"/>
              </m:rPr>
              <w:rPr>
                <w:rFonts w:ascii="Cambria Math" w:hAnsi="Cambria Math"/>
                <w:szCs w:val="21"/>
              </w:rPr>
              <m:t>×</m:t>
            </m:r>
            <m:sSub>
              <m:sSubPr>
                <m:ctrlPr>
                  <w:rPr>
                    <w:rFonts w:ascii="Cambria Math" w:hAnsi="Cambria Math"/>
                    <w:szCs w:val="21"/>
                  </w:rPr>
                </m:ctrlPr>
              </m:sSubPr>
              <m:e>
                <m:r>
                  <m:rPr/>
                  <w:rPr>
                    <w:rFonts w:ascii="Cambria Math" w:hAnsi="Cambria Math"/>
                    <w:szCs w:val="21"/>
                  </w:rPr>
                  <m:t>w</m:t>
                </m:r>
                <m:ctrlPr>
                  <w:rPr>
                    <w:rFonts w:ascii="Cambria Math" w:hAnsi="Cambria Math"/>
                    <w:szCs w:val="21"/>
                  </w:rPr>
                </m:ctrlPr>
              </m:e>
              <m:sub>
                <m:r>
                  <m:rPr/>
                  <w:rPr>
                    <w:rFonts w:ascii="Cambria Math" w:hAnsi="Cambria Math"/>
                    <w:szCs w:val="21"/>
                  </w:rPr>
                  <m:t>i</m:t>
                </m:r>
                <m:ctrlPr>
                  <w:rPr>
                    <w:rFonts w:ascii="Cambria Math" w:hAnsi="Cambria Math"/>
                    <w:szCs w:val="21"/>
                  </w:rPr>
                </m:ctrlPr>
              </m:sub>
            </m:sSub>
            <m:r>
              <m:rPr>
                <m:sty m:val="p"/>
              </m:rPr>
              <w:rPr>
                <w:rFonts w:ascii="Cambria Math" w:hAnsi="Cambria Math"/>
                <w:szCs w:val="21"/>
              </w:rPr>
              <m:t>)</m:t>
            </m:r>
            <m:ctrlPr>
              <w:rPr>
                <w:rFonts w:ascii="Cambria Math" w:hAnsi="Cambria Math"/>
                <w:szCs w:val="21"/>
              </w:rPr>
            </m:ctrlPr>
          </m:e>
        </m:nary>
      </m:oMath>
      <w:r>
        <w:rPr>
          <w:rFonts w:ascii="Times New Roman"/>
          <w:szCs w:val="21"/>
        </w:rPr>
        <w:tab/>
      </w:r>
      <w:r>
        <w:rPr>
          <w:rFonts w:ascii="Times New Roman"/>
          <w:szCs w:val="21"/>
        </w:rPr>
        <w:t>(A.10)</w:t>
      </w:r>
    </w:p>
    <w:p>
      <w:pPr>
        <w:pStyle w:val="23"/>
        <w:ind w:firstLine="0" w:firstLineChars="0"/>
        <w:rPr>
          <w:rFonts w:ascii="Times New Roman"/>
          <w:szCs w:val="21"/>
        </w:rPr>
      </w:pPr>
      <w:r>
        <w:rPr>
          <w:rFonts w:ascii="Times New Roman"/>
          <w:szCs w:val="21"/>
        </w:rPr>
        <w:t>式中：</w:t>
      </w:r>
    </w:p>
    <w:p>
      <w:pPr>
        <w:pStyle w:val="23"/>
        <w:ind w:firstLine="0" w:firstLineChars="0"/>
        <w:rPr>
          <w:rFonts w:ascii="Times New Roman"/>
          <w:szCs w:val="21"/>
        </w:rPr>
      </w:pPr>
      <m:oMath>
        <m:r>
          <m:rPr/>
          <w:rPr>
            <w:rFonts w:ascii="Cambria Math" w:hAnsi="Cambria Math"/>
            <w:szCs w:val="21"/>
          </w:rPr>
          <m:t>C</m:t>
        </m:r>
      </m:oMath>
      <w:r>
        <w:rPr>
          <w:rFonts w:ascii="Times New Roman"/>
          <w:szCs w:val="21"/>
        </w:rPr>
        <w:t>——</w:t>
      </w:r>
      <w:r>
        <w:rPr>
          <w:rFonts w:hint="eastAsia" w:ascii="Times New Roman"/>
          <w:szCs w:val="21"/>
        </w:rPr>
        <w:t>企业</w:t>
      </w:r>
      <w:r>
        <w:rPr>
          <w:rFonts w:hint="eastAsia" w:ascii="Times New Roman"/>
          <w:color w:val="000000" w:themeColor="text1"/>
          <w:szCs w:val="21"/>
          <w14:textFill>
            <w14:solidFill>
              <w14:schemeClr w14:val="tx1"/>
            </w14:solidFill>
          </w14:textFill>
        </w:rPr>
        <w:t>或项目二氧化碳排放总量，单位为吨二氧化碳（t</w:t>
      </w:r>
      <w:r>
        <w:rPr>
          <w:rFonts w:ascii="Times New Roman"/>
          <w:color w:val="000000" w:themeColor="text1"/>
          <w:szCs w:val="21"/>
          <w14:textFill>
            <w14:solidFill>
              <w14:schemeClr w14:val="tx1"/>
            </w14:solidFill>
          </w14:textFill>
        </w:rPr>
        <w:t xml:space="preserve"> CO</w:t>
      </w:r>
      <w:r>
        <w:rPr>
          <w:rFonts w:ascii="Times New Roman"/>
          <w:color w:val="000000" w:themeColor="text1"/>
          <w:szCs w:val="21"/>
          <w:vertAlign w:val="subscript"/>
          <w14:textFill>
            <w14:solidFill>
              <w14:schemeClr w14:val="tx1"/>
            </w14:solidFill>
          </w14:textFill>
        </w:rPr>
        <w:t>2</w:t>
      </w:r>
      <w:r>
        <w:rPr>
          <w:rFonts w:hint="eastAsia" w:ascii="Times New Roman"/>
          <w:color w:val="000000" w:themeColor="text1"/>
          <w:szCs w:val="21"/>
          <w14:textFill>
            <w14:solidFill>
              <w14:schemeClr w14:val="tx1"/>
            </w14:solidFill>
          </w14:textFill>
        </w:rPr>
        <w:t>）</w:t>
      </w:r>
      <w:r>
        <w:rPr>
          <w:rFonts w:hint="eastAsia" w:ascii="Times New Roman"/>
          <w:szCs w:val="21"/>
        </w:rPr>
        <w:t>；</w:t>
      </w:r>
    </w:p>
    <w:p>
      <w:pPr>
        <w:pStyle w:val="23"/>
        <w:ind w:firstLine="0" w:firstLineChars="0"/>
        <w:rPr>
          <w:rFonts w:ascii="Times New Roman"/>
          <w:szCs w:val="21"/>
        </w:rPr>
      </w:pPr>
      <w:r>
        <w:rPr>
          <w:rFonts w:hint="eastAsia" w:ascii="Times New Roman"/>
          <w:i/>
          <w:iCs/>
          <w:szCs w:val="21"/>
        </w:rPr>
        <w:t>n</w:t>
      </w:r>
      <w:r>
        <w:rPr>
          <w:rFonts w:hint="eastAsia" w:ascii="Times New Roman"/>
          <w:szCs w:val="21"/>
        </w:rPr>
        <w:t>——企业或项目消耗的能源种类数；</w:t>
      </w:r>
    </w:p>
    <w:p>
      <w:pPr>
        <w:pStyle w:val="23"/>
        <w:ind w:firstLine="0" w:firstLineChars="0"/>
        <w:rPr>
          <w:rFonts w:ascii="Times New Roman"/>
          <w:szCs w:val="21"/>
        </w:rPr>
      </w:pPr>
      <m:oMath>
        <m:sSub>
          <m:sSubPr>
            <m:ctrlPr>
              <w:rPr>
                <w:rFonts w:ascii="Cambria Math" w:hAnsi="Cambria Math" w:eastAsia="黑体" w:cs="Cambria Math"/>
                <w:i/>
                <w:kern w:val="2"/>
                <w:szCs w:val="21"/>
              </w:rPr>
            </m:ctrlPr>
          </m:sSubPr>
          <m:e>
            <m:r>
              <m:rPr/>
              <w:rPr>
                <w:rFonts w:ascii="Cambria Math" w:hAnsi="Cambria Math" w:eastAsia="黑体" w:cs="Cambria Math"/>
                <w:kern w:val="2"/>
                <w:szCs w:val="21"/>
              </w:rPr>
              <m:t>E</m:t>
            </m:r>
            <m:ctrlPr>
              <w:rPr>
                <w:rFonts w:ascii="Cambria Math" w:hAnsi="Cambria Math" w:eastAsia="黑体" w:cs="Cambria Math"/>
                <w:i/>
                <w:kern w:val="2"/>
                <w:szCs w:val="21"/>
              </w:rPr>
            </m:ctrlPr>
          </m:e>
          <m:sub>
            <m:r>
              <m:rPr/>
              <w:rPr>
                <w:rFonts w:ascii="Cambria Math" w:hAnsi="Cambria Math" w:eastAsia="黑体" w:cs="Cambria Math"/>
                <w:kern w:val="2"/>
                <w:szCs w:val="21"/>
              </w:rPr>
              <m:t>i</m:t>
            </m:r>
            <m:ctrlPr>
              <w:rPr>
                <w:rFonts w:ascii="Cambria Math" w:hAnsi="Cambria Math" w:eastAsia="黑体" w:cs="Cambria Math"/>
                <w:i/>
                <w:kern w:val="2"/>
                <w:szCs w:val="21"/>
              </w:rPr>
            </m:ctrlPr>
          </m:sub>
        </m:sSub>
      </m:oMath>
      <w:r>
        <w:rPr>
          <w:rFonts w:ascii="Times New Roman"/>
          <w:szCs w:val="21"/>
        </w:rPr>
        <w:t>——</w:t>
      </w:r>
      <w:r>
        <w:rPr>
          <w:rFonts w:hint="eastAsia" w:ascii="Times New Roman"/>
          <w:color w:val="000000" w:themeColor="text1"/>
          <w:szCs w:val="21"/>
          <w14:textFill>
            <w14:solidFill>
              <w14:schemeClr w14:val="tx1"/>
            </w14:solidFill>
          </w14:textFill>
        </w:rPr>
        <w:t>企业或项目实际消耗的第</w:t>
      </w:r>
      <w:r>
        <w:rPr>
          <w:rFonts w:hint="eastAsia" w:ascii="Times New Roman"/>
          <w:i/>
          <w:iCs/>
          <w:color w:val="000000" w:themeColor="text1"/>
          <w:szCs w:val="21"/>
          <w14:textFill>
            <w14:solidFill>
              <w14:schemeClr w14:val="tx1"/>
            </w14:solidFill>
          </w14:textFill>
        </w:rPr>
        <w:t>i</w:t>
      </w:r>
      <w:r>
        <w:rPr>
          <w:rFonts w:hint="eastAsia" w:ascii="Times New Roman"/>
          <w:color w:val="000000" w:themeColor="text1"/>
          <w:szCs w:val="21"/>
          <w14:textFill>
            <w14:solidFill>
              <w14:schemeClr w14:val="tx1"/>
            </w14:solidFill>
          </w14:textFill>
        </w:rPr>
        <w:t>种能源量</w:t>
      </w:r>
      <w:r>
        <w:rPr>
          <w:rFonts w:ascii="Times New Roman"/>
          <w:szCs w:val="21"/>
        </w:rPr>
        <w:t>，</w:t>
      </w:r>
      <w:r>
        <w:rPr>
          <w:rFonts w:hint="eastAsia" w:ascii="Times New Roman"/>
          <w:szCs w:val="21"/>
        </w:rPr>
        <w:t>单位为吨（t）、兆瓦时（</w:t>
      </w:r>
      <w:r>
        <w:rPr>
          <w:rFonts w:ascii="Times New Roman"/>
          <w:szCs w:val="21"/>
        </w:rPr>
        <w:t>MW·h</w:t>
      </w:r>
      <w:r>
        <w:rPr>
          <w:rFonts w:hint="eastAsia" w:ascii="Times New Roman"/>
          <w:szCs w:val="21"/>
        </w:rPr>
        <w:t>）、吉焦（</w:t>
      </w:r>
      <w:r>
        <w:rPr>
          <w:rFonts w:ascii="Times New Roman"/>
          <w:szCs w:val="21"/>
        </w:rPr>
        <w:t>GJ</w:t>
      </w:r>
      <w:r>
        <w:rPr>
          <w:rFonts w:hint="eastAsia" w:ascii="Times New Roman"/>
          <w:szCs w:val="21"/>
        </w:rPr>
        <w:t>）、千立方米（10</w:t>
      </w:r>
      <w:r>
        <w:rPr>
          <w:rFonts w:hint="eastAsia" w:ascii="Times New Roman"/>
          <w:szCs w:val="21"/>
          <w:vertAlign w:val="superscript"/>
        </w:rPr>
        <w:t>3</w:t>
      </w:r>
      <w:r>
        <w:rPr>
          <w:rFonts w:ascii="Times New Roman"/>
          <w:szCs w:val="21"/>
          <w:vertAlign w:val="superscript"/>
        </w:rPr>
        <w:t xml:space="preserve"> </w:t>
      </w:r>
      <w:r>
        <w:rPr>
          <w:rFonts w:ascii="Times New Roman"/>
          <w:szCs w:val="21"/>
        </w:rPr>
        <w:t>m</w:t>
      </w:r>
      <w:r>
        <w:rPr>
          <w:rFonts w:hint="eastAsia" w:ascii="Times New Roman"/>
          <w:szCs w:val="21"/>
          <w:vertAlign w:val="superscript"/>
        </w:rPr>
        <w:t>3</w:t>
      </w:r>
      <w:r>
        <w:rPr>
          <w:rFonts w:hint="eastAsia" w:ascii="Times New Roman"/>
          <w:szCs w:val="21"/>
        </w:rPr>
        <w:t>）</w:t>
      </w:r>
      <w:r>
        <w:rPr>
          <w:rFonts w:ascii="Times New Roman"/>
          <w:szCs w:val="21"/>
        </w:rPr>
        <w:t>；</w:t>
      </w:r>
    </w:p>
    <w:p>
      <w:pPr>
        <w:pStyle w:val="23"/>
        <w:ind w:firstLine="0" w:firstLineChars="0"/>
        <w:rPr>
          <w:rFonts w:ascii="Times New Roman"/>
          <w:szCs w:val="21"/>
        </w:rPr>
      </w:pPr>
      <m:oMath>
        <m:sSub>
          <m:sSubPr>
            <m:ctrlPr>
              <w:rPr>
                <w:rFonts w:ascii="Cambria Math" w:hAnsi="Cambria Math" w:eastAsia="黑体" w:cs="Cambria Math"/>
                <w:i/>
                <w:kern w:val="2"/>
                <w:szCs w:val="21"/>
              </w:rPr>
            </m:ctrlPr>
          </m:sSubPr>
          <m:e>
            <m:r>
              <m:rPr/>
              <w:rPr>
                <w:rFonts w:ascii="Cambria Math" w:hAnsi="Cambria Math" w:eastAsia="黑体" w:cs="Cambria Math"/>
                <w:kern w:val="2"/>
                <w:szCs w:val="21"/>
              </w:rPr>
              <m:t>w</m:t>
            </m:r>
            <m:ctrlPr>
              <w:rPr>
                <w:rFonts w:ascii="Cambria Math" w:hAnsi="Cambria Math" w:eastAsia="黑体" w:cs="Cambria Math"/>
                <w:i/>
                <w:kern w:val="2"/>
                <w:szCs w:val="21"/>
              </w:rPr>
            </m:ctrlPr>
          </m:e>
          <m:sub>
            <m:r>
              <m:rPr/>
              <w:rPr>
                <w:rFonts w:ascii="Cambria Math" w:hAnsi="Cambria Math" w:eastAsia="黑体" w:cs="Cambria Math"/>
                <w:kern w:val="2"/>
                <w:szCs w:val="21"/>
              </w:rPr>
              <m:t>i</m:t>
            </m:r>
            <m:ctrlPr>
              <w:rPr>
                <w:rFonts w:ascii="Cambria Math" w:hAnsi="Cambria Math" w:eastAsia="黑体" w:cs="Cambria Math"/>
                <w:i/>
                <w:kern w:val="2"/>
                <w:szCs w:val="21"/>
              </w:rPr>
            </m:ctrlPr>
          </m:sub>
        </m:sSub>
      </m:oMath>
      <w:r>
        <w:rPr>
          <w:rFonts w:ascii="Times New Roman"/>
          <w:szCs w:val="21"/>
        </w:rPr>
        <w:t>——</w:t>
      </w:r>
      <w:r>
        <w:rPr>
          <w:rFonts w:hint="eastAsia" w:ascii="Times New Roman"/>
          <w:szCs w:val="21"/>
        </w:rPr>
        <w:t>第i种能源的碳排放因子</w:t>
      </w:r>
      <w:r>
        <w:rPr>
          <w:rFonts w:ascii="Times New Roman"/>
          <w:szCs w:val="21"/>
        </w:rPr>
        <w:t>，</w:t>
      </w:r>
      <w:r>
        <w:rPr>
          <w:rFonts w:hint="eastAsia" w:ascii="Times New Roman"/>
          <w:szCs w:val="21"/>
        </w:rPr>
        <w:t>见附录B</w:t>
      </w:r>
      <w:r>
        <w:rPr>
          <w:rFonts w:ascii="Times New Roman"/>
          <w:szCs w:val="21"/>
        </w:rPr>
        <w:t>.</w:t>
      </w:r>
      <w:r>
        <w:rPr>
          <w:rFonts w:hint="eastAsia" w:ascii="Times New Roman"/>
          <w:szCs w:val="21"/>
        </w:rPr>
        <w:t>2。</w:t>
      </w:r>
    </w:p>
    <w:p>
      <w:pPr>
        <w:pStyle w:val="23"/>
        <w:ind w:firstLine="0" w:firstLineChars="0"/>
        <w:rPr>
          <w:rFonts w:ascii="Times New Roman"/>
          <w:szCs w:val="21"/>
        </w:rPr>
      </w:pPr>
    </w:p>
    <w:p>
      <w:pPr>
        <w:pStyle w:val="11"/>
        <w:ind w:firstLine="420"/>
        <w:sectPr>
          <w:pgSz w:w="11906" w:h="16838"/>
          <w:pgMar w:top="567" w:right="1134" w:bottom="1134" w:left="1134" w:header="1418" w:footer="1134" w:gutter="284"/>
          <w:cols w:space="425" w:num="1"/>
          <w:formProt w:val="0"/>
          <w:docGrid w:linePitch="312" w:charSpace="0"/>
        </w:sectPr>
      </w:pPr>
    </w:p>
    <w:p>
      <w:pPr>
        <w:pStyle w:val="11"/>
        <w:ind w:firstLine="420"/>
      </w:pPr>
    </w:p>
    <w:p>
      <w:pPr>
        <w:pStyle w:val="29"/>
        <w:numPr>
          <w:ilvl w:val="0"/>
          <w:numId w:val="7"/>
        </w:numPr>
        <w:rPr>
          <w:vanish w:val="0"/>
        </w:rPr>
      </w:pPr>
    </w:p>
    <w:p>
      <w:pPr>
        <w:pStyle w:val="30"/>
        <w:spacing w:before="60" w:after="120"/>
      </w:pPr>
      <w:r>
        <w:br w:type="textWrapping"/>
      </w:r>
      <w:r>
        <w:rPr>
          <w:rFonts w:hint="eastAsia"/>
        </w:rPr>
        <w:t>（资料性）</w:t>
      </w:r>
      <w:r>
        <w:br w:type="textWrapping"/>
      </w:r>
      <w:r>
        <w:rPr>
          <w:rFonts w:hint="eastAsia"/>
        </w:rPr>
        <w:t>常见能源折标准煤系数和碳排放因子</w:t>
      </w:r>
    </w:p>
    <w:p>
      <w:pPr>
        <w:pStyle w:val="11"/>
        <w:ind w:firstLine="420"/>
      </w:pPr>
    </w:p>
    <w:p>
      <w:pPr>
        <w:spacing w:before="60" w:beforeLines="25" w:after="120" w:afterLines="50"/>
        <w:jc w:val="center"/>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t>表B</w:t>
      </w:r>
      <w:r>
        <w:rPr>
          <w:rFonts w:hint="eastAsia" w:ascii="黑体" w:hAnsi="黑体" w:eastAsia="黑体"/>
          <w:color w:val="000000" w:themeColor="text1"/>
          <w:sz w:val="18"/>
          <w:szCs w:val="18"/>
          <w14:textFill>
            <w14:solidFill>
              <w14:schemeClr w14:val="tx1"/>
            </w14:solidFill>
          </w14:textFill>
        </w:rPr>
        <w:t>.1 常见能源折标准煤系数</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3"/>
        <w:gridCol w:w="1596"/>
        <w:gridCol w:w="1305"/>
        <w:gridCol w:w="2035"/>
        <w:gridCol w:w="15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84"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ascii="Times New Roman"/>
                <w:bCs/>
                <w:color w:val="000000" w:themeColor="text1"/>
                <w:szCs w:val="18"/>
                <w14:textFill>
                  <w14:solidFill>
                    <w14:schemeClr w14:val="tx1"/>
                  </w14:solidFill>
                </w14:textFill>
              </w:rPr>
              <w:t>燃料品种</w:t>
            </w:r>
          </w:p>
        </w:tc>
        <w:tc>
          <w:tcPr>
            <w:tcW w:w="834"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hint="eastAsia" w:ascii="Times New Roman"/>
                <w:bCs/>
                <w:color w:val="000000" w:themeColor="text1"/>
                <w:szCs w:val="18"/>
                <w14:textFill>
                  <w14:solidFill>
                    <w14:schemeClr w14:val="tx1"/>
                  </w14:solidFill>
                </w14:textFill>
              </w:rPr>
              <w:t>折标准煤系数</w:t>
            </w:r>
          </w:p>
        </w:tc>
        <w:tc>
          <w:tcPr>
            <w:tcW w:w="682" w:type="pct"/>
            <w:vAlign w:val="center"/>
          </w:tcPr>
          <w:p>
            <w:pPr>
              <w:pStyle w:val="32"/>
              <w:snapToGrid w:val="0"/>
              <w:rPr>
                <w:rFonts w:ascii="Times New Roman"/>
                <w:bCs/>
                <w:color w:val="000000" w:themeColor="text1"/>
                <w:szCs w:val="18"/>
                <w14:textFill>
                  <w14:solidFill>
                    <w14:schemeClr w14:val="tx1"/>
                  </w14:solidFill>
                </w14:textFill>
              </w:rPr>
            </w:pPr>
            <w:r>
              <w:rPr>
                <w:rFonts w:ascii="Times New Roman"/>
                <w:bCs/>
                <w:color w:val="000000" w:themeColor="text1"/>
                <w:szCs w:val="18"/>
                <w14:textFill>
                  <w14:solidFill>
                    <w14:schemeClr w14:val="tx1"/>
                  </w14:solidFill>
                </w14:textFill>
              </w:rPr>
              <w:t>单位</w:t>
            </w:r>
          </w:p>
        </w:tc>
        <w:tc>
          <w:tcPr>
            <w:tcW w:w="1063"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hint="eastAsia" w:ascii="Times New Roman"/>
                <w:bCs/>
                <w:color w:val="000000" w:themeColor="text1"/>
                <w:szCs w:val="18"/>
                <w14:textFill>
                  <w14:solidFill>
                    <w14:schemeClr w14:val="tx1"/>
                  </w14:solidFill>
                </w14:textFill>
              </w:rPr>
              <w:t>能源类型</w:t>
            </w:r>
          </w:p>
        </w:tc>
        <w:tc>
          <w:tcPr>
            <w:tcW w:w="834"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hint="eastAsia" w:ascii="Times New Roman"/>
                <w:bCs/>
                <w:color w:val="000000" w:themeColor="text1"/>
                <w:szCs w:val="18"/>
                <w14:textFill>
                  <w14:solidFill>
                    <w14:schemeClr w14:val="tx1"/>
                  </w14:solidFill>
                </w14:textFill>
              </w:rPr>
              <w:t>折标准煤系数</w:t>
            </w:r>
          </w:p>
        </w:tc>
        <w:tc>
          <w:tcPr>
            <w:tcW w:w="603"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ascii="Times New Roman"/>
                <w:bCs/>
                <w:color w:val="000000" w:themeColor="text1"/>
                <w:szCs w:val="18"/>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8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原煤</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0.714 3</w:t>
            </w:r>
          </w:p>
        </w:tc>
        <w:tc>
          <w:tcPr>
            <w:tcW w:w="682"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ce/ kg</w:t>
            </w:r>
          </w:p>
        </w:tc>
        <w:tc>
          <w:tcPr>
            <w:tcW w:w="106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煤油</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1.471 4</w:t>
            </w:r>
          </w:p>
        </w:tc>
        <w:tc>
          <w:tcPr>
            <w:tcW w:w="60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ce/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8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汽油</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1.471 4</w:t>
            </w:r>
          </w:p>
        </w:tc>
        <w:tc>
          <w:tcPr>
            <w:tcW w:w="682"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hint="eastAsia" w:ascii="Times New Roman" w:hAnsi="Times New Roman" w:cs="Times New Roman"/>
                <w:color w:val="000000" w:themeColor="text1"/>
                <w:kern w:val="2"/>
                <w:sz w:val="18"/>
                <w:szCs w:val="18"/>
                <w14:textFill>
                  <w14:solidFill>
                    <w14:schemeClr w14:val="tx1"/>
                  </w14:solidFill>
                </w14:textFill>
              </w:rPr>
              <w:t>k</w:t>
            </w:r>
            <w:r>
              <w:rPr>
                <w:rFonts w:ascii="Times New Roman" w:hAnsi="Times New Roman" w:cs="Times New Roman"/>
                <w:color w:val="000000" w:themeColor="text1"/>
                <w:kern w:val="2"/>
                <w:sz w:val="18"/>
                <w:szCs w:val="18"/>
                <w14:textFill>
                  <w14:solidFill>
                    <w14:schemeClr w14:val="tx1"/>
                  </w14:solidFill>
                </w14:textFill>
              </w:rPr>
              <w:t>g ce/ kg</w:t>
            </w:r>
          </w:p>
        </w:tc>
        <w:tc>
          <w:tcPr>
            <w:tcW w:w="106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柴油</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1.457 1</w:t>
            </w:r>
          </w:p>
        </w:tc>
        <w:tc>
          <w:tcPr>
            <w:tcW w:w="60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ce/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8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燃料油</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1.428 6</w:t>
            </w:r>
          </w:p>
        </w:tc>
        <w:tc>
          <w:tcPr>
            <w:tcW w:w="682"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ce/ kg</w:t>
            </w:r>
          </w:p>
        </w:tc>
        <w:tc>
          <w:tcPr>
            <w:tcW w:w="106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天然气</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.10</w:t>
            </w:r>
            <w:r>
              <w:rPr>
                <w:rFonts w:hint="eastAsia" w:ascii="Times New Roman" w:hAnsi="Times New Roman" w:cs="Times New Roman"/>
                <w:sz w:val="18"/>
                <w:szCs w:val="18"/>
              </w:rPr>
              <w:t>0</w:t>
            </w:r>
            <w:r>
              <w:rPr>
                <w:rFonts w:ascii="Times New Roman" w:hAnsi="Times New Roman" w:cs="Times New Roman"/>
                <w:sz w:val="18"/>
                <w:szCs w:val="18"/>
              </w:rPr>
              <w:t xml:space="preserve"> </w:t>
            </w:r>
            <w:r>
              <w:rPr>
                <w:rFonts w:hint="eastAsia" w:ascii="Times New Roman" w:hAnsi="Times New Roman" w:cs="Times New Roman"/>
                <w:sz w:val="18"/>
                <w:szCs w:val="18"/>
              </w:rPr>
              <w:t>0</w:t>
            </w:r>
            <w:r>
              <w:rPr>
                <w:rFonts w:ascii="Times New Roman" w:hAnsi="Times New Roman" w:cs="Times New Roman"/>
                <w:sz w:val="18"/>
                <w:szCs w:val="18"/>
              </w:rPr>
              <w:t>~1.33</w:t>
            </w:r>
            <w:r>
              <w:rPr>
                <w:rFonts w:hint="eastAsia" w:ascii="Times New Roman" w:hAnsi="Times New Roman" w:cs="Times New Roman"/>
                <w:sz w:val="18"/>
                <w:szCs w:val="18"/>
              </w:rPr>
              <w:t>0</w:t>
            </w:r>
            <w:r>
              <w:rPr>
                <w:rFonts w:ascii="Times New Roman" w:hAnsi="Times New Roman" w:cs="Times New Roman"/>
                <w:sz w:val="18"/>
                <w:szCs w:val="18"/>
              </w:rPr>
              <w:t xml:space="preserve"> </w:t>
            </w:r>
            <w:r>
              <w:rPr>
                <w:rFonts w:hint="eastAsia" w:ascii="Times New Roman" w:hAnsi="Times New Roman" w:cs="Times New Roman"/>
                <w:sz w:val="18"/>
                <w:szCs w:val="18"/>
              </w:rPr>
              <w:t>0</w:t>
            </w:r>
          </w:p>
        </w:tc>
        <w:tc>
          <w:tcPr>
            <w:tcW w:w="60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hint="eastAsia" w:ascii="Times New Roman" w:hAnsi="Times New Roman" w:cs="Times New Roman"/>
                <w:color w:val="000000" w:themeColor="text1"/>
                <w:kern w:val="2"/>
                <w:sz w:val="18"/>
                <w:szCs w:val="18"/>
                <w14:textFill>
                  <w14:solidFill>
                    <w14:schemeClr w14:val="tx1"/>
                  </w14:solidFill>
                </w14:textFill>
              </w:rPr>
              <w:t>kg ce</w:t>
            </w:r>
            <w:r>
              <w:rPr>
                <w:rFonts w:ascii="Times New Roman" w:hAnsi="Times New Roman" w:cs="Times New Roman"/>
                <w:color w:val="000000" w:themeColor="text1"/>
                <w:kern w:val="2"/>
                <w:sz w:val="18"/>
                <w:szCs w:val="18"/>
                <w14:textFill>
                  <w14:solidFill>
                    <w14:schemeClr w14:val="tx1"/>
                  </w14:solidFill>
                </w14:textFill>
              </w:rPr>
              <w:t>/ 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8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液化石油气</w:t>
            </w:r>
            <w:r>
              <w:rPr>
                <w:rFonts w:hint="eastAsia" w:ascii="Times New Roman" w:hAnsi="Times New Roman" w:cs="Times New Roman"/>
                <w:color w:val="000000" w:themeColor="text1"/>
                <w:kern w:val="2"/>
                <w:sz w:val="18"/>
                <w:szCs w:val="18"/>
                <w14:textFill>
                  <w14:solidFill>
                    <w14:schemeClr w14:val="tx1"/>
                  </w14:solidFill>
                </w14:textFill>
              </w:rPr>
              <w:t>（L</w:t>
            </w:r>
            <w:r>
              <w:rPr>
                <w:rFonts w:ascii="Times New Roman" w:hAnsi="Times New Roman" w:cs="Times New Roman"/>
                <w:color w:val="000000" w:themeColor="text1"/>
                <w:kern w:val="2"/>
                <w:sz w:val="18"/>
                <w:szCs w:val="18"/>
                <w14:textFill>
                  <w14:solidFill>
                    <w14:schemeClr w14:val="tx1"/>
                  </w14:solidFill>
                </w14:textFill>
              </w:rPr>
              <w:t>PG</w:t>
            </w:r>
            <w:r>
              <w:rPr>
                <w:rFonts w:hint="eastAsia" w:ascii="Times New Roman" w:hAnsi="Times New Roman" w:cs="Times New Roman"/>
                <w:color w:val="000000" w:themeColor="text1"/>
                <w:kern w:val="2"/>
                <w:sz w:val="18"/>
                <w:szCs w:val="18"/>
                <w14:textFill>
                  <w14:solidFill>
                    <w14:schemeClr w14:val="tx1"/>
                  </w14:solidFill>
                </w14:textFill>
              </w:rPr>
              <w:t>）</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1.714 3</w:t>
            </w:r>
          </w:p>
        </w:tc>
        <w:tc>
          <w:tcPr>
            <w:tcW w:w="682"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ce/ kg</w:t>
            </w:r>
          </w:p>
        </w:tc>
        <w:tc>
          <w:tcPr>
            <w:tcW w:w="106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液化天然气（LNG）</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1.757 2</w:t>
            </w:r>
          </w:p>
        </w:tc>
        <w:tc>
          <w:tcPr>
            <w:tcW w:w="60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ce/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8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电力</w:t>
            </w:r>
            <w:r>
              <w:rPr>
                <w:rFonts w:hint="eastAsia" w:ascii="Times New Roman" w:hAnsi="Times New Roman" w:cs="Times New Roman"/>
                <w:color w:val="000000" w:themeColor="text1"/>
                <w:kern w:val="2"/>
                <w:sz w:val="18"/>
                <w:szCs w:val="18"/>
                <w14:textFill>
                  <w14:solidFill>
                    <w14:schemeClr w14:val="tx1"/>
                  </w14:solidFill>
                </w14:textFill>
              </w:rPr>
              <w:t>（当量）</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0.122 9</w:t>
            </w:r>
          </w:p>
        </w:tc>
        <w:tc>
          <w:tcPr>
            <w:tcW w:w="682"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 xml:space="preserve">kg ce/ </w:t>
            </w:r>
            <w:r>
              <w:rPr>
                <w:rFonts w:hint="eastAsia" w:ascii="Times New Roman" w:hAnsi="Times New Roman" w:cs="Times New Roman"/>
                <w:color w:val="000000" w:themeColor="text1"/>
                <w:kern w:val="2"/>
                <w:sz w:val="18"/>
                <w:szCs w:val="18"/>
                <w14:textFill>
                  <w14:solidFill>
                    <w14:schemeClr w14:val="tx1"/>
                  </w14:solidFill>
                </w14:textFill>
              </w:rPr>
              <w:t>(k</w:t>
            </w:r>
            <w:r>
              <w:rPr>
                <w:rFonts w:ascii="Times New Roman" w:hAnsi="Times New Roman" w:cs="Times New Roman"/>
                <w:color w:val="000000" w:themeColor="text1"/>
                <w:kern w:val="2"/>
                <w:sz w:val="18"/>
                <w:szCs w:val="18"/>
                <w14:textFill>
                  <w14:solidFill>
                    <w14:schemeClr w14:val="tx1"/>
                  </w14:solidFill>
                </w14:textFill>
              </w:rPr>
              <w:t>W·h)</w:t>
            </w:r>
          </w:p>
        </w:tc>
        <w:tc>
          <w:tcPr>
            <w:tcW w:w="106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热力</w:t>
            </w:r>
            <w:r>
              <w:rPr>
                <w:rFonts w:hint="eastAsia" w:ascii="Times New Roman" w:hAnsi="Times New Roman" w:cs="Times New Roman"/>
                <w:color w:val="000000" w:themeColor="text1"/>
                <w:kern w:val="2"/>
                <w:sz w:val="18"/>
                <w:szCs w:val="18"/>
                <w14:textFill>
                  <w14:solidFill>
                    <w14:schemeClr w14:val="tx1"/>
                  </w14:solidFill>
                </w14:textFill>
              </w:rPr>
              <w:t>（当量）</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0.034 12</w:t>
            </w:r>
          </w:p>
        </w:tc>
        <w:tc>
          <w:tcPr>
            <w:tcW w:w="60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ce/ 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8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电力</w:t>
            </w:r>
            <w:r>
              <w:rPr>
                <w:rFonts w:hint="eastAsia" w:ascii="Times New Roman" w:hAnsi="Times New Roman" w:cs="Times New Roman"/>
                <w:color w:val="000000" w:themeColor="text1"/>
                <w:kern w:val="2"/>
                <w:sz w:val="18"/>
                <w:szCs w:val="18"/>
                <w14:textFill>
                  <w14:solidFill>
                    <w14:schemeClr w14:val="tx1"/>
                  </w14:solidFill>
                </w14:textFill>
              </w:rPr>
              <w:t>（等价值）</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hint="eastAsia" w:ascii="Times New Roman" w:hAnsi="Times New Roman" w:cs="Times New Roman"/>
                <w:sz w:val="18"/>
                <w:szCs w:val="18"/>
              </w:rPr>
              <w:t>按上年电厂发电标准煤耗计算</w:t>
            </w:r>
          </w:p>
        </w:tc>
        <w:tc>
          <w:tcPr>
            <w:tcW w:w="682"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 xml:space="preserve">kg ce/ </w:t>
            </w:r>
            <w:r>
              <w:rPr>
                <w:rFonts w:hint="eastAsia" w:ascii="Times New Roman" w:hAnsi="Times New Roman" w:cs="Times New Roman"/>
                <w:color w:val="000000" w:themeColor="text1"/>
                <w:kern w:val="2"/>
                <w:sz w:val="18"/>
                <w:szCs w:val="18"/>
                <w14:textFill>
                  <w14:solidFill>
                    <w14:schemeClr w14:val="tx1"/>
                  </w14:solidFill>
                </w14:textFill>
              </w:rPr>
              <w:t>(k</w:t>
            </w:r>
            <w:r>
              <w:rPr>
                <w:rFonts w:ascii="Times New Roman" w:hAnsi="Times New Roman" w:cs="Times New Roman"/>
                <w:color w:val="000000" w:themeColor="text1"/>
                <w:kern w:val="2"/>
                <w:sz w:val="18"/>
                <w:szCs w:val="18"/>
                <w14:textFill>
                  <w14:solidFill>
                    <w14:schemeClr w14:val="tx1"/>
                  </w14:solidFill>
                </w14:textFill>
              </w:rPr>
              <w:t>W·h)</w:t>
            </w:r>
          </w:p>
        </w:tc>
        <w:tc>
          <w:tcPr>
            <w:tcW w:w="106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热力</w:t>
            </w:r>
            <w:r>
              <w:rPr>
                <w:rFonts w:hint="eastAsia" w:ascii="Times New Roman" w:hAnsi="Times New Roman" w:cs="Times New Roman"/>
                <w:color w:val="000000" w:themeColor="text1"/>
                <w:kern w:val="2"/>
                <w:sz w:val="18"/>
                <w:szCs w:val="18"/>
                <w14:textFill>
                  <w14:solidFill>
                    <w14:schemeClr w14:val="tx1"/>
                  </w14:solidFill>
                </w14:textFill>
              </w:rPr>
              <w:t>（等价值）</w:t>
            </w:r>
          </w:p>
        </w:tc>
        <w:tc>
          <w:tcPr>
            <w:tcW w:w="83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hint="eastAsia" w:ascii="Times New Roman" w:hAnsi="Times New Roman" w:cs="Times New Roman"/>
                <w:sz w:val="18"/>
                <w:szCs w:val="18"/>
              </w:rPr>
              <w:t>按供热煤耗计算</w:t>
            </w:r>
          </w:p>
        </w:tc>
        <w:tc>
          <w:tcPr>
            <w:tcW w:w="603"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ce/ 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6"/>
            <w:vAlign w:val="center"/>
          </w:tcPr>
          <w:p>
            <w:pPr>
              <w:pStyle w:val="23"/>
              <w:spacing w:line="230" w:lineRule="exact"/>
              <w:ind w:firstLine="360"/>
              <w:jc w:val="left"/>
              <w:rPr>
                <w:rFonts w:ascii="Times New Roman"/>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hint="eastAsia" w:ascii="Times New Roman"/>
                <w:color w:val="000000" w:themeColor="text1"/>
                <w:sz w:val="18"/>
                <w:szCs w:val="18"/>
                <w14:textFill>
                  <w14:solidFill>
                    <w14:schemeClr w14:val="tx1"/>
                  </w14:solidFill>
                </w14:textFill>
              </w:rPr>
              <w:t>：数据来源于G</w:t>
            </w:r>
            <w:r>
              <w:rPr>
                <w:rFonts w:ascii="Times New Roman"/>
                <w:color w:val="000000" w:themeColor="text1"/>
                <w:sz w:val="18"/>
                <w:szCs w:val="18"/>
                <w14:textFill>
                  <w14:solidFill>
                    <w14:schemeClr w14:val="tx1"/>
                  </w14:solidFill>
                </w14:textFill>
              </w:rPr>
              <w:t xml:space="preserve">B/T </w:t>
            </w:r>
            <w:r>
              <w:rPr>
                <w:rFonts w:hint="eastAsia" w:ascii="Times New Roman"/>
                <w:color w:val="000000" w:themeColor="text1"/>
                <w:sz w:val="18"/>
                <w:szCs w:val="18"/>
                <w14:textFill>
                  <w14:solidFill>
                    <w14:schemeClr w14:val="tx1"/>
                  </w14:solidFill>
                </w14:textFill>
              </w:rPr>
              <w:t>2589—2020</w:t>
            </w:r>
            <w:r>
              <w:rPr>
                <w:rFonts w:ascii="Times New Roman"/>
                <w:color w:val="000000" w:themeColor="text1"/>
                <w:sz w:val="18"/>
                <w:szCs w:val="18"/>
                <w14:textFill>
                  <w14:solidFill>
                    <w14:schemeClr w14:val="tx1"/>
                  </w14:solidFill>
                </w14:textFill>
              </w:rPr>
              <w:t xml:space="preserve"> </w:t>
            </w:r>
            <w:r>
              <w:rPr>
                <w:rFonts w:hint="eastAsia" w:ascii="Times New Roman"/>
                <w:color w:val="000000" w:themeColor="text1"/>
                <w:sz w:val="18"/>
                <w:szCs w:val="18"/>
                <w14:textFill>
                  <w14:solidFill>
                    <w14:schemeClr w14:val="tx1"/>
                  </w14:solidFill>
                </w14:textFill>
              </w:rPr>
              <w:t>综合能耗计算通则。</w:t>
            </w:r>
          </w:p>
        </w:tc>
      </w:tr>
    </w:tbl>
    <w:p>
      <w:pPr>
        <w:pStyle w:val="11"/>
        <w:ind w:firstLine="420"/>
      </w:pPr>
    </w:p>
    <w:p>
      <w:pPr>
        <w:spacing w:before="60" w:beforeLines="25" w:after="120" w:afterLines="50"/>
        <w:jc w:val="center"/>
        <w:rPr>
          <w:rFonts w:ascii="黑体" w:hAnsi="黑体" w:eastAsia="黑体"/>
          <w:color w:val="000000" w:themeColor="text1"/>
          <w:sz w:val="18"/>
          <w:szCs w:val="18"/>
          <w14:textFill>
            <w14:solidFill>
              <w14:schemeClr w14:val="tx1"/>
            </w14:solidFill>
          </w14:textFill>
        </w:rPr>
      </w:pPr>
      <w:bookmarkStart w:id="63" w:name="_Toc94036303"/>
      <w:bookmarkStart w:id="64" w:name="_Toc94039026"/>
      <w:bookmarkStart w:id="65" w:name="_Toc94038934"/>
      <w:r>
        <w:rPr>
          <w:rFonts w:ascii="黑体" w:hAnsi="黑体" w:eastAsia="黑体"/>
          <w:color w:val="000000" w:themeColor="text1"/>
          <w:sz w:val="18"/>
          <w:szCs w:val="18"/>
          <w14:textFill>
            <w14:solidFill>
              <w14:schemeClr w14:val="tx1"/>
            </w14:solidFill>
          </w14:textFill>
        </w:rPr>
        <w:t>表B</w:t>
      </w:r>
      <w:r>
        <w:rPr>
          <w:rFonts w:hint="eastAsia" w:ascii="黑体" w:hAnsi="黑体" w:eastAsia="黑体"/>
          <w:color w:val="000000" w:themeColor="text1"/>
          <w:sz w:val="18"/>
          <w:szCs w:val="18"/>
          <w14:textFill>
            <w14:solidFill>
              <w14:schemeClr w14:val="tx1"/>
            </w14:solidFill>
          </w14:textFill>
        </w:rPr>
        <w:t>.2 常见</w:t>
      </w:r>
      <w:bookmarkEnd w:id="63"/>
      <w:bookmarkEnd w:id="64"/>
      <w:bookmarkEnd w:id="65"/>
      <w:r>
        <w:rPr>
          <w:rFonts w:hint="eastAsia" w:ascii="黑体" w:hAnsi="黑体" w:eastAsia="黑体"/>
          <w:color w:val="000000" w:themeColor="text1"/>
          <w:sz w:val="18"/>
          <w:szCs w:val="18"/>
          <w14:textFill>
            <w14:solidFill>
              <w14:schemeClr w14:val="tx1"/>
            </w14:solidFill>
          </w14:textFill>
        </w:rPr>
        <w:t>能源碳排放因子</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871"/>
        <w:gridCol w:w="1164"/>
        <w:gridCol w:w="2758"/>
        <w:gridCol w:w="869"/>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287"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ascii="Times New Roman"/>
                <w:bCs/>
                <w:color w:val="000000" w:themeColor="text1"/>
                <w:szCs w:val="18"/>
                <w14:textFill>
                  <w14:solidFill>
                    <w14:schemeClr w14:val="tx1"/>
                  </w14:solidFill>
                </w14:textFill>
              </w:rPr>
              <w:t>燃料品种</w:t>
            </w:r>
          </w:p>
        </w:tc>
        <w:tc>
          <w:tcPr>
            <w:tcW w:w="455"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ascii="Times New Roman"/>
                <w:bCs/>
                <w:color w:val="000000" w:themeColor="text1"/>
                <w:szCs w:val="18"/>
                <w14:textFill>
                  <w14:solidFill>
                    <w14:schemeClr w14:val="tx1"/>
                  </w14:solidFill>
                </w14:textFill>
              </w:rPr>
              <w:t>碳排放因子</w:t>
            </w:r>
          </w:p>
        </w:tc>
        <w:tc>
          <w:tcPr>
            <w:tcW w:w="608" w:type="pct"/>
            <w:vAlign w:val="center"/>
          </w:tcPr>
          <w:p>
            <w:pPr>
              <w:pStyle w:val="32"/>
              <w:snapToGrid w:val="0"/>
              <w:rPr>
                <w:rFonts w:ascii="Times New Roman"/>
                <w:bCs/>
                <w:color w:val="000000" w:themeColor="text1"/>
                <w:szCs w:val="18"/>
                <w14:textFill>
                  <w14:solidFill>
                    <w14:schemeClr w14:val="tx1"/>
                  </w14:solidFill>
                </w14:textFill>
              </w:rPr>
            </w:pPr>
            <w:r>
              <w:rPr>
                <w:rFonts w:ascii="Times New Roman"/>
                <w:bCs/>
                <w:color w:val="000000" w:themeColor="text1"/>
                <w:szCs w:val="18"/>
                <w14:textFill>
                  <w14:solidFill>
                    <w14:schemeClr w14:val="tx1"/>
                  </w14:solidFill>
                </w14:textFill>
              </w:rPr>
              <w:t>单位</w:t>
            </w:r>
          </w:p>
        </w:tc>
        <w:tc>
          <w:tcPr>
            <w:tcW w:w="1441"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hint="eastAsia" w:ascii="Times New Roman"/>
                <w:bCs/>
                <w:color w:val="000000" w:themeColor="text1"/>
                <w:szCs w:val="18"/>
                <w14:textFill>
                  <w14:solidFill>
                    <w14:schemeClr w14:val="tx1"/>
                  </w14:solidFill>
                </w14:textFill>
              </w:rPr>
              <w:t>能源类型</w:t>
            </w:r>
          </w:p>
        </w:tc>
        <w:tc>
          <w:tcPr>
            <w:tcW w:w="454"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ascii="Times New Roman"/>
                <w:bCs/>
                <w:color w:val="000000" w:themeColor="text1"/>
                <w:szCs w:val="18"/>
                <w14:textFill>
                  <w14:solidFill>
                    <w14:schemeClr w14:val="tx1"/>
                  </w14:solidFill>
                </w14:textFill>
              </w:rPr>
              <w:t>碳排放因子</w:t>
            </w:r>
          </w:p>
        </w:tc>
        <w:tc>
          <w:tcPr>
            <w:tcW w:w="755" w:type="pct"/>
            <w:shd w:val="clear" w:color="auto" w:fill="auto"/>
            <w:vAlign w:val="center"/>
          </w:tcPr>
          <w:p>
            <w:pPr>
              <w:pStyle w:val="32"/>
              <w:snapToGrid w:val="0"/>
              <w:rPr>
                <w:rFonts w:ascii="Times New Roman"/>
                <w:bCs/>
                <w:color w:val="000000" w:themeColor="text1"/>
                <w:szCs w:val="18"/>
                <w14:textFill>
                  <w14:solidFill>
                    <w14:schemeClr w14:val="tx1"/>
                  </w14:solidFill>
                </w14:textFill>
              </w:rPr>
            </w:pPr>
            <w:r>
              <w:rPr>
                <w:rFonts w:ascii="Times New Roman"/>
                <w:bCs/>
                <w:color w:val="000000" w:themeColor="text1"/>
                <w:szCs w:val="18"/>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原煤</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1.980 4</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hint="eastAsia" w:ascii="Times New Roman" w:hAnsi="Times New Roman" w:cs="Times New Roman"/>
                <w:color w:val="000000" w:themeColor="text1"/>
                <w:kern w:val="2"/>
                <w:sz w:val="18"/>
                <w:szCs w:val="18"/>
                <w14:textFill>
                  <w14:solidFill>
                    <w14:schemeClr w14:val="tx1"/>
                  </w14:solidFill>
                </w14:textFill>
              </w:rPr>
              <w:t>kg</w:t>
            </w:r>
            <w:r>
              <w:rPr>
                <w:rFonts w:ascii="Times New Roman" w:hAnsi="Times New Roman" w:cs="Times New Roman"/>
                <w:color w:val="000000" w:themeColor="text1"/>
                <w:kern w:val="2"/>
                <w:sz w:val="18"/>
                <w:szCs w:val="18"/>
                <w14:textFill>
                  <w14:solidFill>
                    <w14:schemeClr w14:val="tx1"/>
                  </w14:solidFill>
                </w14:textFill>
              </w:rPr>
              <w:t xml:space="preserve">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煤油</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3.033 4</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汽油</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2.925 1</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航空煤油</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3.153 2</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国际航运汽油</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3.102 5</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天然气</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2.162 2</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柴油</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3.095 9</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液化天然气（LNG）</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2.731 8</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国际航运柴油</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3.206</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国际航运液化天然气（LNG）</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2.750</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燃料油</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3.170 5</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液化石油气</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3.101 3</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国际航运轻燃油（LFO）</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3.151</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国际航运液化石油气（丙烷）</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3.000</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国际航运重燃油（HFO）</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3.114</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国际航运液化石油气（丁烷）</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3.030</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国际航运低硫燃油/超低硫燃油（MDO/MGO）</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3.206</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其他燃料（折标准煤）</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2.772 5</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kg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87"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电力</w:t>
            </w:r>
          </w:p>
        </w:tc>
        <w:tc>
          <w:tcPr>
            <w:tcW w:w="4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0.5</w:t>
            </w:r>
            <w:r>
              <w:rPr>
                <w:rFonts w:hint="eastAsia" w:ascii="Times New Roman" w:hAnsi="Times New Roman" w:cs="Times New Roman"/>
                <w:color w:val="000000" w:themeColor="text1"/>
                <w:kern w:val="2"/>
                <w:sz w:val="18"/>
                <w:szCs w:val="18"/>
                <w14:textFill>
                  <w14:solidFill>
                    <w14:schemeClr w14:val="tx1"/>
                  </w14:solidFill>
                </w14:textFill>
              </w:rPr>
              <w:t>70</w:t>
            </w:r>
            <w:r>
              <w:rPr>
                <w:rFonts w:ascii="Times New Roman" w:hAnsi="Times New Roman" w:cs="Times New Roman"/>
                <w:color w:val="000000" w:themeColor="text1"/>
                <w:kern w:val="2"/>
                <w:sz w:val="18"/>
                <w:szCs w:val="18"/>
                <w14:textFill>
                  <w14:solidFill>
                    <w14:schemeClr w14:val="tx1"/>
                  </w14:solidFill>
                </w14:textFill>
              </w:rPr>
              <w:t xml:space="preserve"> </w:t>
            </w:r>
            <w:r>
              <w:rPr>
                <w:rFonts w:hint="eastAsia" w:ascii="Times New Roman" w:hAnsi="Times New Roman" w:cs="Times New Roman"/>
                <w:color w:val="000000" w:themeColor="text1"/>
                <w:kern w:val="2"/>
                <w:sz w:val="18"/>
                <w:szCs w:val="18"/>
                <w14:textFill>
                  <w14:solidFill>
                    <w14:schemeClr w14:val="tx1"/>
                  </w14:solidFill>
                </w14:textFill>
              </w:rPr>
              <w:t>3</w:t>
            </w:r>
            <w:r>
              <w:rPr>
                <w:rFonts w:ascii="Times New Roman" w:hAnsi="Times New Roman" w:cs="Times New Roman"/>
                <w:color w:val="000000" w:themeColor="text1"/>
                <w:kern w:val="2"/>
                <w:sz w:val="18"/>
                <w:szCs w:val="18"/>
                <w:vertAlign w:val="superscript"/>
                <w14:textFill>
                  <w14:solidFill>
                    <w14:schemeClr w14:val="tx1"/>
                  </w14:solidFill>
                </w14:textFill>
              </w:rPr>
              <w:t>a</w:t>
            </w:r>
          </w:p>
        </w:tc>
        <w:tc>
          <w:tcPr>
            <w:tcW w:w="608" w:type="pct"/>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 xml:space="preserve">/ </w:t>
            </w:r>
            <w:r>
              <w:rPr>
                <w:rFonts w:hint="eastAsia" w:ascii="Times New Roman" w:hAnsi="Times New Roman" w:cs="Times New Roman"/>
                <w:color w:val="000000" w:themeColor="text1"/>
                <w:kern w:val="2"/>
                <w:sz w:val="18"/>
                <w:szCs w:val="18"/>
                <w14:textFill>
                  <w14:solidFill>
                    <w14:schemeClr w14:val="tx1"/>
                  </w14:solidFill>
                </w14:textFill>
              </w:rPr>
              <w:t>(</w:t>
            </w:r>
            <w:r>
              <w:rPr>
                <w:rFonts w:ascii="Times New Roman" w:hAnsi="Times New Roman" w:cs="Times New Roman"/>
                <w:color w:val="000000" w:themeColor="text1"/>
                <w:kern w:val="2"/>
                <w:sz w:val="18"/>
                <w:szCs w:val="18"/>
                <w14:textFill>
                  <w14:solidFill>
                    <w14:schemeClr w14:val="tx1"/>
                  </w14:solidFill>
                </w14:textFill>
              </w:rPr>
              <w:t>kW·h)</w:t>
            </w:r>
          </w:p>
        </w:tc>
        <w:tc>
          <w:tcPr>
            <w:tcW w:w="1441"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热力</w:t>
            </w:r>
          </w:p>
        </w:tc>
        <w:tc>
          <w:tcPr>
            <w:tcW w:w="454"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0.11</w:t>
            </w:r>
          </w:p>
        </w:tc>
        <w:tc>
          <w:tcPr>
            <w:tcW w:w="755" w:type="pct"/>
            <w:shd w:val="clear" w:color="auto" w:fill="auto"/>
            <w:vAlign w:val="center"/>
          </w:tcPr>
          <w:p>
            <w:pPr>
              <w:pStyle w:val="4"/>
              <w:tabs>
                <w:tab w:val="center" w:pos="4201"/>
                <w:tab w:val="right" w:pos="9298"/>
              </w:tabs>
              <w:spacing w:before="0" w:beforeAutospacing="0" w:after="0" w:afterAutospacing="0"/>
              <w:jc w:val="center"/>
              <w:rPr>
                <w:rFonts w:ascii="Times New Roman" w:hAnsi="Times New Roman" w:cs="Times New Roman"/>
                <w:sz w:val="18"/>
                <w:szCs w:val="18"/>
              </w:rPr>
            </w:pPr>
            <w:r>
              <w:rPr>
                <w:rFonts w:ascii="Times New Roman" w:hAnsi="Times New Roman" w:cs="Times New Roman"/>
                <w:color w:val="000000" w:themeColor="text1"/>
                <w:kern w:val="2"/>
                <w:sz w:val="18"/>
                <w:szCs w:val="18"/>
                <w14:textFill>
                  <w14:solidFill>
                    <w14:schemeClr w14:val="tx1"/>
                  </w14:solidFill>
                </w14:textFill>
              </w:rPr>
              <w:t>kg CO</w:t>
            </w:r>
            <w:r>
              <w:rPr>
                <w:rFonts w:ascii="Times New Roman" w:hAnsi="Times New Roman" w:cs="Times New Roman"/>
                <w:color w:val="000000" w:themeColor="text1"/>
                <w:kern w:val="2"/>
                <w:sz w:val="18"/>
                <w:szCs w:val="18"/>
                <w:vertAlign w:val="subscript"/>
                <w14:textFill>
                  <w14:solidFill>
                    <w14:schemeClr w14:val="tx1"/>
                  </w14:solidFill>
                </w14:textFill>
              </w:rPr>
              <w:t>2</w:t>
            </w:r>
            <w:r>
              <w:rPr>
                <w:rFonts w:ascii="Times New Roman" w:hAnsi="Times New Roman" w:cs="Times New Roman"/>
                <w:color w:val="000000" w:themeColor="text1"/>
                <w:kern w:val="2"/>
                <w:sz w:val="18"/>
                <w:szCs w:val="18"/>
                <w14:textFill>
                  <w14:solidFill>
                    <w14:schemeClr w14:val="tx1"/>
                  </w14:solidFill>
                </w14:textFill>
              </w:rPr>
              <w:t>/MJ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000" w:type="pct"/>
            <w:gridSpan w:val="6"/>
            <w:vAlign w:val="center"/>
          </w:tcPr>
          <w:p>
            <w:pPr>
              <w:pStyle w:val="32"/>
              <w:shd w:val="clear" w:color="auto" w:fill="FFFFFF" w:themeFill="background1"/>
              <w:snapToGrid w:val="0"/>
              <w:ind w:left="780" w:leftChars="200" w:hanging="360" w:hangingChars="200"/>
              <w:jc w:val="left"/>
              <w:rPr>
                <w:rFonts w:ascii="Times New Roman"/>
                <w:color w:val="000000" w:themeColor="text1"/>
                <w:szCs w:val="18"/>
                <w14:textFill>
                  <w14:solidFill>
                    <w14:schemeClr w14:val="tx1"/>
                  </w14:solidFill>
                </w14:textFill>
              </w:rPr>
            </w:pPr>
            <w:r>
              <w:rPr>
                <w:rFonts w:hint="eastAsia" w:ascii="黑体" w:hAnsi="黑体" w:eastAsia="黑体"/>
                <w:color w:val="000000" w:themeColor="text1"/>
                <w:szCs w:val="18"/>
                <w14:textFill>
                  <w14:solidFill>
                    <w14:schemeClr w14:val="tx1"/>
                  </w14:solidFill>
                </w14:textFill>
              </w:rPr>
              <w:t>注</w:t>
            </w:r>
            <w:r>
              <w:rPr>
                <w:rFonts w:hint="eastAsia" w:ascii="Times New Roman"/>
                <w:color w:val="000000" w:themeColor="text1"/>
                <w:szCs w:val="18"/>
                <w14:textFill>
                  <w14:solidFill>
                    <w14:schemeClr w14:val="tx1"/>
                  </w14:solidFill>
                </w14:textFill>
              </w:rPr>
              <w:t>：数据来源于《中国能源统计年鉴2021》、《省级温室气体清单编制指南（试行）》、《2006年IPCC国家温室气体清单指南》、国际海事组织《MARPOL 73/78防污公约》附则VI《防止船舶造成空气污染规则》、</w:t>
            </w:r>
            <w:r>
              <w:rPr>
                <w:rFonts w:ascii="Times New Roman"/>
                <w:color w:val="000000" w:themeColor="text1"/>
                <w:szCs w:val="18"/>
                <w14:textFill>
                  <w14:solidFill>
                    <w14:schemeClr w14:val="tx1"/>
                  </w14:solidFill>
                </w14:textFill>
              </w:rPr>
              <w:t>GB/T 32151.6</w:t>
            </w:r>
            <w:r>
              <w:rPr>
                <w:rFonts w:hint="eastAsia" w:ascii="Times New Roman"/>
                <w:color w:val="000000" w:themeColor="text1"/>
                <w:szCs w:val="18"/>
                <w14:textFill>
                  <w14:solidFill>
                    <w14:schemeClr w14:val="tx1"/>
                  </w14:solidFill>
                </w14:textFill>
              </w:rPr>
              <w:t>—</w:t>
            </w:r>
            <w:r>
              <w:rPr>
                <w:rFonts w:ascii="Times New Roman"/>
                <w:color w:val="000000" w:themeColor="text1"/>
                <w:szCs w:val="18"/>
                <w14:textFill>
                  <w14:solidFill>
                    <w14:schemeClr w14:val="tx1"/>
                  </w14:solidFill>
                </w14:textFill>
              </w:rPr>
              <w:t>2015</w:t>
            </w:r>
            <w:r>
              <w:rPr>
                <w:rFonts w:hint="eastAsia" w:ascii="Times New Roman"/>
                <w:color w:val="000000" w:themeColor="text1"/>
                <w:szCs w:val="18"/>
                <w14:textFill>
                  <w14:solidFill>
                    <w14:schemeClr w14:val="tx1"/>
                  </w14:solidFill>
                </w14:textFill>
              </w:rPr>
              <w:t xml:space="preserve"> </w:t>
            </w:r>
            <w:r>
              <w:rPr>
                <w:rFonts w:ascii="Times New Roman"/>
                <w:color w:val="000000" w:themeColor="text1"/>
                <w:szCs w:val="18"/>
                <w14:textFill>
                  <w14:solidFill>
                    <w14:schemeClr w14:val="tx1"/>
                  </w14:solidFill>
                </w14:textFill>
              </w:rPr>
              <w:t>温室气体排放核算与报告要求 第6部分：民用航空业</w:t>
            </w:r>
            <w:r>
              <w:rPr>
                <w:rFonts w:hint="eastAsia" w:ascii="Times New Roman"/>
                <w:color w:val="000000" w:themeColor="text1"/>
                <w:szCs w:val="18"/>
                <w14:textFill>
                  <w14:solidFill>
                    <w14:schemeClr w14:val="tx1"/>
                  </w14:solidFill>
                </w14:textFill>
              </w:rPr>
              <w:t>。</w:t>
            </w:r>
          </w:p>
          <w:p>
            <w:pPr>
              <w:pStyle w:val="32"/>
              <w:shd w:val="clear" w:color="auto" w:fill="FFFFFF" w:themeFill="background1"/>
              <w:snapToGrid w:val="0"/>
              <w:ind w:left="780" w:leftChars="200" w:hanging="360" w:hangingChars="200"/>
              <w:jc w:val="left"/>
              <w:rPr>
                <w:rFonts w:ascii="Times New Roman"/>
                <w:color w:val="000000" w:themeColor="text1"/>
                <w:szCs w:val="18"/>
                <w:vertAlign w:val="superscript"/>
                <w14:textFill>
                  <w14:solidFill>
                    <w14:schemeClr w14:val="tx1"/>
                  </w14:solidFill>
                </w14:textFill>
              </w:rPr>
            </w:pPr>
            <w:r>
              <w:rPr>
                <w:rFonts w:ascii="Times New Roman"/>
                <w:color w:val="000000" w:themeColor="text1"/>
                <w:szCs w:val="18"/>
                <w:vertAlign w:val="superscript"/>
                <w14:textFill>
                  <w14:solidFill>
                    <w14:schemeClr w14:val="tx1"/>
                  </w14:solidFill>
                </w14:textFill>
              </w:rPr>
              <w:t>a</w:t>
            </w:r>
            <w:r>
              <w:rPr>
                <w:rFonts w:ascii="Times New Roman"/>
                <w:color w:val="000000" w:themeColor="text1"/>
                <w:szCs w:val="18"/>
                <w14:textFill>
                  <w14:solidFill>
                    <w14:schemeClr w14:val="tx1"/>
                  </w14:solidFill>
                </w14:textFill>
              </w:rPr>
              <w:t xml:space="preserve"> </w:t>
            </w:r>
            <w:r>
              <w:rPr>
                <w:rFonts w:hint="eastAsia" w:ascii="Times New Roman"/>
                <w:color w:val="000000" w:themeColor="text1"/>
                <w:szCs w:val="18"/>
                <w14:textFill>
                  <w14:solidFill>
                    <w14:schemeClr w14:val="tx1"/>
                  </w14:solidFill>
                </w14:textFill>
              </w:rPr>
              <w:t>数据来源于《关于做好2023-2025年发电行业企业温室气体排放报告管理有关工作的通知》（环办气候函〔2023〕43号），如国家主管部门更新电网排放因子，应按照更新后的电网排放因子进行核算。</w:t>
            </w:r>
          </w:p>
        </w:tc>
      </w:tr>
    </w:tbl>
    <w:p>
      <w:pPr>
        <w:pStyle w:val="23"/>
        <w:rPr>
          <w:rFonts w:ascii="Times New Roman"/>
          <w:color w:val="000000" w:themeColor="text1"/>
          <w14:textFill>
            <w14:solidFill>
              <w14:schemeClr w14:val="tx1"/>
            </w14:solidFill>
          </w14:textFill>
        </w:rPr>
      </w:pPr>
    </w:p>
    <w:p>
      <w:pPr>
        <w:pStyle w:val="11"/>
        <w:ind w:firstLine="420"/>
      </w:pPr>
    </w:p>
    <w:p>
      <w:pPr>
        <w:pStyle w:val="11"/>
        <w:ind w:firstLine="420"/>
        <w:sectPr>
          <w:pgSz w:w="11906" w:h="16838"/>
          <w:pgMar w:top="567" w:right="1134" w:bottom="1134" w:left="1134" w:header="1418" w:footer="1134" w:gutter="284"/>
          <w:cols w:space="425" w:num="1"/>
          <w:formProt w:val="0"/>
          <w:docGrid w:linePitch="312" w:charSpace="0"/>
        </w:sectPr>
      </w:pPr>
    </w:p>
    <w:bookmarkEnd w:id="59"/>
    <w:p>
      <w:pPr>
        <w:pStyle w:val="33"/>
        <w:spacing w:before="124" w:after="156"/>
      </w:pPr>
      <w:bookmarkStart w:id="66" w:name="BookMark6"/>
      <w:r>
        <w:rPr>
          <w:rFonts w:hint="eastAsia"/>
          <w:spacing w:val="105"/>
        </w:rPr>
        <w:t>参考文</w:t>
      </w:r>
      <w:r>
        <w:rPr>
          <w:rFonts w:hint="eastAsia"/>
        </w:rPr>
        <w:t>献</w:t>
      </w:r>
    </w:p>
    <w:p>
      <w:pPr>
        <w:pStyle w:val="11"/>
        <w:numPr>
          <w:ilvl w:val="0"/>
          <w:numId w:val="8"/>
        </w:numPr>
        <w:ind w:firstLineChars="0"/>
        <w:rPr>
          <w:rFonts w:ascii="Times New Roman"/>
        </w:rPr>
      </w:pPr>
      <w:r>
        <w:rPr>
          <w:rFonts w:hint="eastAsia" w:ascii="Times New Roman"/>
        </w:rPr>
        <w:t>GB/T 2589—2020</w:t>
      </w:r>
      <w:r>
        <w:rPr>
          <w:rFonts w:ascii="Times New Roman"/>
        </w:rPr>
        <w:t xml:space="preserve"> </w:t>
      </w:r>
      <w:r>
        <w:rPr>
          <w:rFonts w:hint="eastAsia" w:ascii="Times New Roman"/>
        </w:rPr>
        <w:t>综合能耗计算通则</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w:t>
      </w:r>
      <w:r>
        <w:rPr>
          <w:rFonts w:hint="eastAsia" w:ascii="Times New Roman"/>
        </w:rPr>
        <w:t>/</w:t>
      </w:r>
      <w:r>
        <w:rPr>
          <w:rFonts w:hint="eastAsia" w:ascii="Times New Roman"/>
          <w:color w:val="000000" w:themeColor="text1"/>
          <w14:textFill>
            <w14:solidFill>
              <w14:schemeClr w14:val="tx1"/>
            </w14:solidFill>
          </w14:textFill>
        </w:rPr>
        <w:t>T 2934—2007 联运通用平托盘 主要尺寸及公差</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GB/T 3730.1—2001</w:t>
      </w:r>
      <w:r>
        <w:rPr>
          <w:rFonts w:hint="eastAsia" w:ascii="Times New Roman"/>
          <w:color w:val="000000" w:themeColor="text1"/>
          <w14:textFill>
            <w14:solidFill>
              <w14:schemeClr w14:val="tx1"/>
            </w14:solidFill>
          </w14:textFill>
        </w:rPr>
        <w:t xml:space="preserve"> 汽车和挂车类型的术语和定义</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4892—2021 硬质直方体运输包装尺寸系列</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8226—2008 道路运输术语</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13234—2018</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用能单位节能量计算方法</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 17167—2006 用能单位能源计量器具配备和管理通则</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GB 17691</w:t>
      </w:r>
      <w:r>
        <w:rPr>
          <w:rFonts w:hint="eastAsia" w:ascii="Times New Roman"/>
          <w:color w:val="000000" w:themeColor="text1"/>
          <w14:textFill>
            <w14:solidFill>
              <w14:schemeClr w14:val="tx1"/>
            </w14:solidFill>
          </w14:textFill>
        </w:rPr>
        <w:t>—2018 重型柴油车污染物排放限值及测量方法（中国第六阶段）</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w:t>
      </w:r>
      <w:r>
        <w:rPr>
          <w:rFonts w:ascii="Times New Roman"/>
          <w:color w:val="000000" w:themeColor="text1"/>
          <w14:textFill>
            <w14:solidFill>
              <w14:schemeClr w14:val="tx1"/>
            </w14:solidFill>
          </w14:textFill>
        </w:rPr>
        <w:t>B 18352.6</w:t>
      </w:r>
      <w:r>
        <w:rPr>
          <w:rFonts w:hint="eastAsia" w:ascii="Times New Roman"/>
          <w:color w:val="000000" w:themeColor="text1"/>
          <w14:textFill>
            <w14:solidFill>
              <w14:schemeClr w14:val="tx1"/>
            </w14:solidFill>
          </w14:textFill>
        </w:rPr>
        <w:t>—2016 轻型汽车污染物排放限值及测量方法（中国第六阶段）</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18354—2021 物流术语</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bookmarkStart w:id="67" w:name="_Hlk118892409"/>
      <w:r>
        <w:rPr>
          <w:rFonts w:hint="eastAsia" w:ascii="Times New Roman"/>
          <w:color w:val="000000" w:themeColor="text1"/>
          <w14:textFill>
            <w14:solidFill>
              <w14:schemeClr w14:val="tx1"/>
            </w14:solidFill>
          </w14:textFill>
        </w:rPr>
        <w:t>GB/T 20197—2006 降解塑料的定义、分类、标识和降解性能要求</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20923—2007</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道路货物运输评价指标</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21072—2021</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通用仓库等级</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21334—2017</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物流园区分类与基本要求</w:t>
      </w:r>
    </w:p>
    <w:bookmarkEnd w:id="67"/>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24789—2022 用水单位水计量器具配备和管理通则</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30334—2013 物流园区服务规范及评估指标</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31086—2014 物流企业冷链服务要求与能力评估指标</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ascii="Times New Roman"/>
          <w:color w:val="000000" w:themeColor="text1"/>
          <w:szCs w:val="18"/>
          <w14:textFill>
            <w14:solidFill>
              <w14:schemeClr w14:val="tx1"/>
            </w14:solidFill>
          </w14:textFill>
        </w:rPr>
        <w:t>GB/T 32151.6</w:t>
      </w:r>
      <w:r>
        <w:rPr>
          <w:rFonts w:hint="eastAsia" w:ascii="Times New Roman"/>
          <w:color w:val="000000" w:themeColor="text1"/>
          <w:szCs w:val="18"/>
          <w14:textFill>
            <w14:solidFill>
              <w14:schemeClr w14:val="tx1"/>
            </w14:solidFill>
          </w14:textFill>
        </w:rPr>
        <w:t>—</w:t>
      </w:r>
      <w:r>
        <w:rPr>
          <w:rFonts w:ascii="Times New Roman"/>
          <w:color w:val="000000" w:themeColor="text1"/>
          <w:szCs w:val="18"/>
          <w14:textFill>
            <w14:solidFill>
              <w14:schemeClr w14:val="tx1"/>
            </w14:solidFill>
          </w14:textFill>
        </w:rPr>
        <w:t>2015</w:t>
      </w:r>
      <w:r>
        <w:rPr>
          <w:rFonts w:hint="eastAsia" w:ascii="Times New Roman"/>
          <w:color w:val="000000" w:themeColor="text1"/>
          <w:szCs w:val="18"/>
          <w14:textFill>
            <w14:solidFill>
              <w14:schemeClr w14:val="tx1"/>
            </w14:solidFill>
          </w14:textFill>
        </w:rPr>
        <w:t xml:space="preserve"> </w:t>
      </w:r>
      <w:r>
        <w:rPr>
          <w:rFonts w:ascii="Times New Roman"/>
          <w:color w:val="000000" w:themeColor="text1"/>
          <w:szCs w:val="18"/>
          <w14:textFill>
            <w14:solidFill>
              <w14:schemeClr w14:val="tx1"/>
            </w14:solidFill>
          </w14:textFill>
        </w:rPr>
        <w:t>温室气体排放核算与报告要求 第6部分：民用航空业</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32163.2—2015</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生态设计产品评价规范 第2部分：可降解塑料</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GB/T 36132—2018 </w:t>
      </w:r>
      <w:r>
        <w:rPr>
          <w:rFonts w:hint="eastAsia" w:ascii="Times New Roman"/>
          <w:color w:val="000000" w:themeColor="text1"/>
          <w14:textFill>
            <w14:solidFill>
              <w14:schemeClr w14:val="tx1"/>
            </w14:solidFill>
          </w14:textFill>
        </w:rPr>
        <w:t>绿色工厂评价通则</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bookmarkStart w:id="68" w:name="_Hlk89786770"/>
      <w:r>
        <w:rPr>
          <w:rFonts w:hint="eastAsia" w:ascii="Times New Roman"/>
          <w:color w:val="000000" w:themeColor="text1"/>
          <w14:textFill>
            <w14:solidFill>
              <w14:schemeClr w14:val="tx1"/>
            </w14:solidFill>
          </w14:textFill>
        </w:rPr>
        <w:t>GB/T 39257—2020 绿色制造 制造企业绿色供应链管理评价规范</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T 41010—2021 生物降解塑料与制品降解性能及标识要求</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41243—2022 绿色仓储与配送要求及评估</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GB/T 50378—2014</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绿色建筑评价标准</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JTS-T105-4—2020 绿色港口等级评价指南</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SB/T 11164—2016 绿色仓库要求与评价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ISO 14064-1</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2018</w:t>
      </w:r>
      <w:r>
        <w:rPr>
          <w:rFonts w:ascii="Times New Roman"/>
          <w:color w:val="000000" w:themeColor="text1"/>
          <w14:textFill>
            <w14:solidFill>
              <w14:schemeClr w14:val="tx1"/>
            </w14:solidFill>
          </w14:textFill>
        </w:rPr>
        <w:t xml:space="preserve"> G</w:t>
      </w:r>
      <w:r>
        <w:rPr>
          <w:rFonts w:hint="eastAsia" w:ascii="Times New Roman"/>
          <w:color w:val="000000" w:themeColor="text1"/>
          <w14:textFill>
            <w14:solidFill>
              <w14:schemeClr w14:val="tx1"/>
            </w14:solidFill>
          </w14:textFill>
        </w:rPr>
        <w:t>reen</w:t>
      </w:r>
      <w:r>
        <w:rPr>
          <w:rFonts w:ascii="Times New Roman"/>
          <w:color w:val="000000" w:themeColor="text1"/>
          <w14:textFill>
            <w14:solidFill>
              <w14:schemeClr w14:val="tx1"/>
            </w14:solidFill>
          </w14:textFill>
        </w:rPr>
        <w:t>house gases-Part 1: Specification with guidance at the organization level for quantification and reporting of greenhouse gas emissions and removals</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ISO 14064-2:</w:t>
      </w:r>
      <w:r>
        <w:rPr>
          <w:rFonts w:ascii="Times New Roman"/>
          <w:color w:val="000000" w:themeColor="text1"/>
          <w14:textFill>
            <w14:solidFill>
              <w14:schemeClr w14:val="tx1"/>
            </w14:solidFill>
          </w14:textFill>
        </w:rPr>
        <w:t>2018 Greenhouse gases - Part 2: Specification with guidance at the project level for quantification, monitoring and reporting of greenhouse gas emission reductions or removal enhancements</w:t>
      </w:r>
    </w:p>
    <w:bookmarkEnd w:id="68"/>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生产安全事故报告和调查处理条例（中华人民共和国国务院令第493号）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关于加快新能源汽车推广应用的指导意见（国办发〔2014〕35号）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节能低碳产品认证管理办法（质检总局 国家发改委令第168号）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关于印发《电动汽车充电基础设施发展指南（2015-2020年）》的通知（发改能源〔2015〕1454号）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关于推广标准托盘发展单元化物流的意见（商流通函</w:t>
      </w:r>
      <w:r>
        <w:rPr>
          <w:rFonts w:hint="eastAsia" w:hAnsi="宋体"/>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2017</w:t>
      </w:r>
      <w:r>
        <w:rPr>
          <w:rFonts w:hint="eastAsia" w:hAnsi="宋体"/>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968号）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中华人民共和国节约能源法（2018版）（中华人民共和国主席令第16号）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关于印发《柴油货车污染治理攻坚战行动计划》的通知（环大气〔2018〕179号）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关于印发交通强国建设纲要的通知（中发〔2019〕39号）</w:t>
      </w:r>
    </w:p>
    <w:p>
      <w:pPr>
        <w:pStyle w:val="23"/>
        <w:numPr>
          <w:ilvl w:val="0"/>
          <w:numId w:val="8"/>
        </w:numPr>
        <w:adjustRightInd w:val="0"/>
        <w:spacing w:line="400" w:lineRule="exact"/>
        <w:ind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关于印发《加快推进高速公路电子不停车快捷收费应用服务实施方案》的通知（发改基础〔2019〕935号）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关于印发新能源汽车产业发展规划（2021-2035年）的通知（国办发〔2020〕39号）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关于进一步加强塑料污染治理的意见（发改环资〔2020〕80号）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关于印发《“十四五”循环经济发展规划》的通知（发改环资〔2021〕969号）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关于印发《“十四五”塑料污染治理行动方案》的通知（发改环资〔2021〕1298号）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关于印发加强企业温室气体排放报告管理相关工作的通知（环办气候〔2021〕9号）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关于印发《绿色交通“十四五”发展规划》的通知（交规划发﹝2021﹞104号）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关于印发《“十四五”现代能源体系规划》的通知（发改能源〔2022〕210号</w:t>
      </w:r>
    </w:p>
    <w:p>
      <w:pPr>
        <w:pStyle w:val="23"/>
        <w:numPr>
          <w:ilvl w:val="0"/>
          <w:numId w:val="8"/>
        </w:numPr>
        <w:adjustRightInd w:val="0"/>
        <w:spacing w:line="400" w:lineRule="exact"/>
        <w:ind w:hanging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《道路机动车辆生产企业及产品》（第363批）、《新能源汽车推广应用推荐车型目录》（2022年第10批）、《享受车船税减免优惠的节约能源 使用新能源汽车车型目录》（第四十四批）、《免征车辆购置税的新能源汽车车型目录》（第六十批）（中华人民共和国工业和信息化部公告2022年第25号）</w:t>
      </w:r>
    </w:p>
    <w:p>
      <w:pPr>
        <w:pStyle w:val="23"/>
        <w:numPr>
          <w:ilvl w:val="0"/>
          <w:numId w:val="8"/>
        </w:numPr>
        <w:adjustRightInd w:val="0"/>
        <w:spacing w:line="400" w:lineRule="exact"/>
        <w:ind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Global logistics emissions council framework for logistics emissions accounting and reporting (version 2.0), Smart Freight Centre.</w:t>
      </w:r>
    </w:p>
    <w:bookmarkEnd w:id="66"/>
    <w:p>
      <w:pPr>
        <w:pStyle w:val="11"/>
        <w:spacing w:line="240" w:lineRule="atLeast"/>
        <w:ind w:firstLine="420"/>
      </w:pPr>
      <w:r>
        <mc:AlternateContent>
          <mc:Choice Requires="wps">
            <w:drawing>
              <wp:anchor distT="0" distB="0" distL="114300" distR="114300" simplePos="0" relativeHeight="251661312" behindDoc="0" locked="0" layoutInCell="1" allowOverlap="1">
                <wp:simplePos x="0" y="0"/>
                <wp:positionH relativeFrom="column">
                  <wp:posOffset>1690370</wp:posOffset>
                </wp:positionH>
                <wp:positionV relativeFrom="paragraph">
                  <wp:posOffset>135255</wp:posOffset>
                </wp:positionV>
                <wp:extent cx="2094230" cy="0"/>
                <wp:effectExtent l="0" t="12700" r="1270" b="12700"/>
                <wp:wrapNone/>
                <wp:docPr id="297668535" name="自选图形 4"/>
                <wp:cNvGraphicFramePr/>
                <a:graphic xmlns:a="http://schemas.openxmlformats.org/drawingml/2006/main">
                  <a:graphicData uri="http://schemas.microsoft.com/office/word/2010/wordprocessingShape">
                    <wps:wsp>
                      <wps:cNvCnPr/>
                      <wps:spPr>
                        <a:xfrm>
                          <a:off x="0" y="0"/>
                          <a:ext cx="2094230" cy="0"/>
                        </a:xfrm>
                        <a:prstGeom prst="straightConnector1">
                          <a:avLst/>
                        </a:prstGeom>
                        <a:ln w="25400"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33.1pt;margin-top:10.65pt;height:0pt;width:164.9pt;z-index:251661312;mso-width-relative:page;mso-height-relative:page;" filled="f" stroked="t" coordsize="21600,21600" o:gfxdata="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u5xvNYAAAAJAQAADwAAAAAAAAABACAAAAAiAAAAZHJzL2Rvd25yZXYu&#10;eG1sUEsBAhQAFAAAAAgAh07iQHheEK79AQAA7AMAAA4AAAAAAAAAAQAgAAAAJQEAAGRycy9lMm9E&#10;b2MueG1sUEsFBgAAAAAGAAYAWQEAAJQFAAAAAA==&#10;">
                <v:fill on="f" focussize="0,0"/>
                <v:stroke weight="2pt" color="#000000" joinstyle="round"/>
                <v:imagedata o:title=""/>
                <o:lock v:ext="edit" aspectratio="f"/>
              </v:shape>
            </w:pict>
          </mc:Fallback>
        </mc:AlternateContent>
      </w:r>
    </w:p>
    <w:p>
      <w:pPr>
        <w:ind w:firstLine="560" w:firstLineChars="200"/>
        <w:jc w:val="left"/>
        <w:rPr>
          <w:rFonts w:ascii="仿宋" w:hAnsi="仿宋" w:eastAsia="仿宋"/>
          <w:sz w:val="28"/>
          <w:szCs w:val="28"/>
        </w:rPr>
      </w:pPr>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黑体" w:hAnsi="黑体"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fldChar w:fldCharType="begin"/>
    </w:r>
    <w:r>
      <w:instrText xml:space="preserve"> STYLEREF  标准文件_文件编号  \* MERGEFORMAT </w:instrText>
    </w:r>
    <w:r>
      <w:fldChar w:fldCharType="separate"/>
    </w:r>
    <w:r>
      <w:t>WB/TXXXXX—XXXX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STYLEREF  标准文件_文件编号  \* MERGEFORMAT </w:instrText>
    </w:r>
    <w:r>
      <w:fldChar w:fldCharType="separate"/>
    </w:r>
    <w:r>
      <w:t>WB/TXXXXX—XXXX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fldChar w:fldCharType="begin"/>
    </w:r>
    <w:r>
      <w:instrText xml:space="preserve"> STYLEREF  标准文件_文件编号  \* MERGEFORMAT </w:instrText>
    </w:r>
    <w:r>
      <w:fldChar w:fldCharType="separate"/>
    </w:r>
    <w:r>
      <w:t>WB/TXXXXX—XXXX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22"/>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2FF44E68"/>
    <w:multiLevelType w:val="multilevel"/>
    <w:tmpl w:val="2FF44E68"/>
    <w:lvl w:ilvl="0" w:tentative="0">
      <w:start w:val="1"/>
      <w:numFmt w:val="decimal"/>
      <w:lvlText w:val="A.%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C50F90"/>
    <w:multiLevelType w:val="multilevel"/>
    <w:tmpl w:val="44C50F90"/>
    <w:lvl w:ilvl="0" w:tentative="0">
      <w:start w:val="1"/>
      <w:numFmt w:val="lowerLetter"/>
      <w:pStyle w:val="27"/>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48802D1C"/>
    <w:multiLevelType w:val="multilevel"/>
    <w:tmpl w:val="48802D1C"/>
    <w:lvl w:ilvl="0" w:tentative="0">
      <w:start w:val="1"/>
      <w:numFmt w:val="upperLetter"/>
      <w:pStyle w:val="28"/>
      <w:lvlText w:val="%1"/>
      <w:lvlJc w:val="left"/>
      <w:pPr>
        <w:ind w:left="420" w:hanging="420"/>
      </w:pPr>
      <w:rPr>
        <w:rFonts w:hint="eastAsia"/>
      </w:rPr>
    </w:lvl>
    <w:lvl w:ilvl="1" w:tentative="0">
      <w:start w:val="1"/>
      <w:numFmt w:val="decimal"/>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5603797C"/>
    <w:multiLevelType w:val="multilevel"/>
    <w:tmpl w:val="5603797C"/>
    <w:lvl w:ilvl="0" w:tentative="0">
      <w:start w:val="1"/>
      <w:numFmt w:val="upperLetter"/>
      <w:pStyle w:val="29"/>
      <w:suff w:val="space"/>
      <w:lvlText w:val="%1"/>
      <w:lvlJc w:val="left"/>
      <w:pPr>
        <w:ind w:left="425" w:hanging="425"/>
      </w:pPr>
      <w:rPr>
        <w:rFonts w:hint="eastAsia"/>
      </w:rPr>
    </w:lvl>
    <w:lvl w:ilvl="1" w:tentative="0">
      <w:start w:val="1"/>
      <w:numFmt w:val="decimal"/>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657D3FBC"/>
    <w:multiLevelType w:val="multilevel"/>
    <w:tmpl w:val="657D3FBC"/>
    <w:lvl w:ilvl="0" w:tentative="0">
      <w:start w:val="1"/>
      <w:numFmt w:val="upperLetter"/>
      <w:pStyle w:val="30"/>
      <w:suff w:val="nothing"/>
      <w:lvlText w:val="附录%1"/>
      <w:lvlJc w:val="left"/>
      <w:pPr>
        <w:ind w:left="0" w:firstLine="0"/>
      </w:pPr>
      <w:rPr>
        <w:rFonts w:hint="eastAsia"/>
        <w:spacing w:val="100"/>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CA58D7"/>
    <w:multiLevelType w:val="multilevel"/>
    <w:tmpl w:val="6CCA58D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MTJhZjM1YzJmNDkzMjI0MzM4ZjA2NjhhMDY1NjcifQ=="/>
  </w:docVars>
  <w:rsids>
    <w:rsidRoot w:val="4D47293A"/>
    <w:rsid w:val="0A1F3649"/>
    <w:rsid w:val="18AE27B7"/>
    <w:rsid w:val="4D47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10">
    <w:name w:val="标准文件_文件编号"/>
    <w:basedOn w:val="11"/>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标准文件_替换文件编号"/>
    <w:basedOn w:val="10"/>
    <w:qFormat/>
    <w:uiPriority w:val="0"/>
    <w:pPr>
      <w:framePr w:wrap="around"/>
      <w:spacing w:before="57"/>
    </w:pPr>
    <w:rPr>
      <w:sz w:val="21"/>
    </w:rPr>
  </w:style>
  <w:style w:type="paragraph" w:customStyle="1" w:styleId="13">
    <w:name w:val="标准文件_文件名称"/>
    <w:basedOn w:val="11"/>
    <w:next w:val="11"/>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4">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5">
    <w:name w:val="其他发布日期"/>
    <w:basedOn w:val="16"/>
    <w:qFormat/>
    <w:uiPriority w:val="0"/>
    <w:pPr>
      <w:framePr w:w="3997" w:h="471" w:hRule="exact" w:hSpace="0" w:vSpace="181" w:wrap="around" w:vAnchor="page" w:hAnchor="page" w:x="1419" w:y="14097"/>
    </w:pPr>
  </w:style>
  <w:style w:type="paragraph" w:customStyle="1" w:styleId="1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7">
    <w:name w:val="其他实施日期"/>
    <w:basedOn w:val="18"/>
    <w:qFormat/>
    <w:uiPriority w:val="0"/>
    <w:pPr>
      <w:framePr w:w="3997" w:h="471" w:hRule="exact" w:vSpace="181" w:wrap="around" w:vAnchor="page" w:hAnchor="page" w:x="7089" w:y="14097"/>
    </w:pPr>
  </w:style>
  <w:style w:type="paragraph" w:customStyle="1" w:styleId="18">
    <w:name w:val="实施日期"/>
    <w:basedOn w:val="16"/>
    <w:qFormat/>
    <w:uiPriority w:val="0"/>
    <w:pPr>
      <w:framePr w:hSpace="0" w:wrap="around" w:xAlign="right"/>
      <w:jc w:val="right"/>
    </w:pPr>
  </w:style>
  <w:style w:type="paragraph" w:customStyle="1" w:styleId="19">
    <w:name w:val="其他发布部门"/>
    <w:basedOn w:val="20"/>
    <w:qFormat/>
    <w:uiPriority w:val="0"/>
    <w:pPr>
      <w:framePr w:wrap="around"/>
      <w:spacing w:line="0" w:lineRule="atLeast"/>
    </w:pPr>
    <w:rPr>
      <w:rFonts w:ascii="黑体" w:eastAsia="黑体"/>
      <w:b w:val="0"/>
    </w:rPr>
  </w:style>
  <w:style w:type="paragraph" w:customStyle="1" w:styleId="20">
    <w:name w:val="发布部门"/>
    <w:next w:val="1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character" w:customStyle="1" w:styleId="21">
    <w:name w:val="发布"/>
    <w:basedOn w:val="7"/>
    <w:qFormat/>
    <w:uiPriority w:val="0"/>
    <w:rPr>
      <w:rFonts w:ascii="黑体" w:eastAsia="黑体"/>
      <w:spacing w:val="85"/>
      <w:w w:val="100"/>
      <w:position w:val="3"/>
      <w:sz w:val="28"/>
      <w:szCs w:val="28"/>
    </w:rPr>
  </w:style>
  <w:style w:type="paragraph" w:customStyle="1" w:styleId="22">
    <w:name w:val="标准文件_前言、引言标题"/>
    <w:next w:val="1"/>
    <w:qFormat/>
    <w:uiPriority w:val="0"/>
    <w:pPr>
      <w:numPr>
        <w:ilvl w:val="0"/>
        <w:numId w:val="1"/>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4">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25">
    <w:name w:val="标准文件_章标题"/>
    <w:next w:val="11"/>
    <w:qFormat/>
    <w:uiPriority w:val="0"/>
    <w:pPr>
      <w:spacing w:beforeLines="100" w:afterLines="100"/>
      <w:jc w:val="both"/>
      <w:outlineLvl w:val="0"/>
    </w:pPr>
    <w:rPr>
      <w:rFonts w:ascii="黑体" w:hAnsi="Times New Roman" w:eastAsia="黑体" w:cs="Times New Roman"/>
      <w:sz w:val="21"/>
      <w:lang w:val="en-US" w:eastAsia="zh-CN" w:bidi="ar-SA"/>
    </w:rPr>
  </w:style>
  <w:style w:type="paragraph" w:customStyle="1" w:styleId="26">
    <w:name w:val="标准文件_一级条标题"/>
    <w:basedOn w:val="25"/>
    <w:next w:val="11"/>
    <w:qFormat/>
    <w:uiPriority w:val="0"/>
    <w:pPr>
      <w:spacing w:beforeLines="50" w:afterLines="50"/>
      <w:outlineLvl w:val="1"/>
    </w:pPr>
  </w:style>
  <w:style w:type="paragraph" w:customStyle="1" w:styleId="27">
    <w:name w:val="标准文件_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8">
    <w:name w:val="标准文件_附录图标号"/>
    <w:basedOn w:val="11"/>
    <w:next w:val="11"/>
    <w:qFormat/>
    <w:uiPriority w:val="0"/>
    <w:pPr>
      <w:numPr>
        <w:ilvl w:val="0"/>
        <w:numId w:val="3"/>
      </w:numPr>
      <w:spacing w:line="14" w:lineRule="exact"/>
      <w:ind w:firstLine="0" w:firstLineChars="0"/>
      <w:jc w:val="center"/>
    </w:pPr>
    <w:rPr>
      <w:rFonts w:ascii="黑体" w:hAnsi="黑体" w:eastAsia="黑体"/>
      <w:vanish/>
      <w:sz w:val="2"/>
      <w:szCs w:val="21"/>
    </w:rPr>
  </w:style>
  <w:style w:type="paragraph" w:customStyle="1" w:styleId="29">
    <w:name w:val="标准文件_附录表标号"/>
    <w:basedOn w:val="11"/>
    <w:next w:val="11"/>
    <w:qFormat/>
    <w:uiPriority w:val="0"/>
    <w:pPr>
      <w:numPr>
        <w:ilvl w:val="0"/>
        <w:numId w:val="4"/>
      </w:numPr>
      <w:spacing w:line="14" w:lineRule="exact"/>
      <w:ind w:firstLine="0" w:firstLineChars="0"/>
      <w:jc w:val="center"/>
    </w:pPr>
    <w:rPr>
      <w:rFonts w:eastAsia="黑体"/>
      <w:vanish/>
      <w:sz w:val="2"/>
    </w:rPr>
  </w:style>
  <w:style w:type="paragraph" w:customStyle="1" w:styleId="30">
    <w:name w:val="标准文件_附录标识"/>
    <w:next w:val="11"/>
    <w:qFormat/>
    <w:uiPriority w:val="0"/>
    <w:pPr>
      <w:numPr>
        <w:ilvl w:val="0"/>
        <w:numId w:val="5"/>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31">
    <w:name w:val="正文公式编号制表符"/>
    <w:basedOn w:val="23"/>
    <w:next w:val="23"/>
    <w:qFormat/>
    <w:uiPriority w:val="0"/>
    <w:pPr>
      <w:ind w:firstLine="0" w:firstLineChars="0"/>
    </w:pPr>
  </w:style>
  <w:style w:type="paragraph" w:customStyle="1" w:styleId="32">
    <w:name w:val="标准文件_表格"/>
    <w:basedOn w:val="11"/>
    <w:qFormat/>
    <w:uiPriority w:val="0"/>
    <w:pPr>
      <w:ind w:firstLine="0" w:firstLineChars="0"/>
      <w:jc w:val="center"/>
    </w:pPr>
    <w:rPr>
      <w:sz w:val="18"/>
    </w:rPr>
  </w:style>
  <w:style w:type="paragraph" w:customStyle="1" w:styleId="33">
    <w:name w:val="标准文件_参考文献标题"/>
    <w:basedOn w:val="1"/>
    <w:next w:val="1"/>
    <w:qFormat/>
    <w:uiPriority w:val="0"/>
    <w:pPr>
      <w:widowControl/>
      <w:shd w:val="clear" w:color="FFFFFF" w:fill="FFFFFF"/>
      <w:spacing w:beforeLines="40" w:afterLines="50"/>
      <w:jc w:val="center"/>
      <w:outlineLvl w:val="0"/>
    </w:pPr>
    <w:rPr>
      <w:rFonts w:ascii="黑体" w:hAnsi="Calibri" w:eastAsia="黑体" w:cs="Times New Roman"/>
      <w:kern w:val="0"/>
      <w:szCs w:val="21"/>
    </w:rPr>
  </w:style>
  <w:style w:type="paragraph" w:customStyle="1" w:styleId="3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35">
    <w:name w:val="标准文件_页脚奇数页"/>
    <w:qFormat/>
    <w:uiPriority w:val="0"/>
    <w:pPr>
      <w:ind w:right="227"/>
      <w:jc w:val="right"/>
    </w:pPr>
    <w:rPr>
      <w:rFonts w:ascii="宋体"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7394fa5-5912-480e-bcbd-49fea7b0fe94}"/>
        <w:style w:val=""/>
        <w:category>
          <w:name w:val="常规"/>
          <w:gallery w:val="placeholder"/>
        </w:category>
        <w:types>
          <w:type w:val="bbPlcHdr"/>
        </w:types>
        <w:behaviors>
          <w:behavior w:val="content"/>
        </w:behaviors>
        <w:description w:val=""/>
        <w:guid w:val="{27394fa5-5912-480e-bcbd-49fea7b0fe94}"/>
      </w:docPartPr>
      <w:docPartBody>
        <w:p>
          <w:pPr>
            <w:pStyle w:val="2"/>
          </w:pPr>
          <w:r>
            <w:rPr>
              <w:rStyle w:val="3"/>
              <w:rFonts w:hint="eastAsia"/>
            </w:rPr>
            <w:t>单击或点击此处输入文字。</w:t>
          </w:r>
        </w:p>
      </w:docPartBody>
    </w:docPart>
    <w:docPart>
      <w:docPartPr>
        <w:name w:val="{d046456c-2af0-4913-abd4-93bb9a836b05}"/>
        <w:style w:val=""/>
        <w:category>
          <w:name w:val="常规"/>
          <w:gallery w:val="placeholder"/>
        </w:category>
        <w:types>
          <w:type w:val="bbPlcHdr"/>
        </w:types>
        <w:behaviors>
          <w:behavior w:val="content"/>
        </w:behaviors>
        <w:description w:val=""/>
        <w:guid w:val="{d046456c-2af0-4913-abd4-93bb9a836b05}"/>
      </w:docPartPr>
      <w:docPartBody>
        <w:p>
          <w:pPr>
            <w:pStyle w:val="4"/>
          </w:pPr>
          <w:r>
            <w:rPr>
              <w:rStyle w:val="3"/>
              <w:rFonts w:hint="eastAsia"/>
            </w:rPr>
            <w:t>选择一项。</w:t>
          </w:r>
        </w:p>
      </w:docPartBody>
    </w:docPart>
    <w:docPart>
      <w:docPartPr>
        <w:name w:val="{fc3eb831-b645-4ed7-a4b4-16da2b3b08b5}"/>
        <w:style w:val=""/>
        <w:category>
          <w:name w:val="常规"/>
          <w:gallery w:val="placeholder"/>
        </w:category>
        <w:types>
          <w:type w:val="bbPlcHdr"/>
        </w:types>
        <w:behaviors>
          <w:behavior w:val="content"/>
        </w:behaviors>
        <w:description w:val=""/>
        <w:guid w:val="{fc3eb831-b645-4ed7-a4b4-16da2b3b08b5}"/>
      </w:docPartPr>
      <w:docPartBody>
        <w:p>
          <w:pPr>
            <w:pStyle w:val="5"/>
          </w:pPr>
          <w:r>
            <w:rPr>
              <w:rStyle w:val="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7D0D871951B04BFDA956262CF8774799"/>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 w:type="paragraph" w:customStyle="1" w:styleId="4">
    <w:name w:val="3B55A844155D401AAA088F6BF9684D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6572E0CF6A104C41867C68745DFE0D8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13206</Words>
  <Characters>15648</Characters>
  <Lines>0</Lines>
  <Paragraphs>0</Paragraphs>
  <TotalTime>4</TotalTime>
  <ScaleCrop>false</ScaleCrop>
  <LinksUpToDate>false</LinksUpToDate>
  <CharactersWithSpaces>16050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2023-07-10T06:59:00Z</dcterms:created>
  <dc:creator>Michelle</dc:creator>
  <cp:lastModifiedBy>Michelle</cp:lastModifiedBy>
  <dcterms:modified xsi:type="dcterms:W3CDTF">2023-07-10T08:16:17Z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8C40194C0ED347958C9394C802146A70_11</vt:lpwstr>
  </property>
</Properties>
</file>